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E98" w:rsidRPr="00595E98" w:rsidRDefault="00595E98" w:rsidP="009266E2">
      <w:pPr>
        <w:spacing w:line="360" w:lineRule="auto"/>
        <w:jc w:val="center"/>
        <w:rPr>
          <w:rFonts w:ascii="Calibri" w:eastAsia="Times New Roman" w:hAnsi="Calibri" w:cs="Calibri"/>
          <w:b/>
          <w:color w:val="222222"/>
          <w:sz w:val="28"/>
          <w:szCs w:val="28"/>
          <w:lang w:eastAsia="en-CA"/>
        </w:rPr>
      </w:pPr>
      <w:r w:rsidRPr="00595E98">
        <w:rPr>
          <w:rFonts w:ascii="Calibri" w:eastAsia="Times New Roman" w:hAnsi="Calibri" w:cs="Calibri"/>
          <w:b/>
          <w:color w:val="222222"/>
          <w:sz w:val="28"/>
          <w:szCs w:val="28"/>
          <w:lang w:eastAsia="en-CA"/>
        </w:rPr>
        <w:t>Report of the Association for Canadian Clinical Legal Education Policy Committee</w:t>
      </w:r>
      <w:bookmarkStart w:id="0" w:name="_GoBack"/>
      <w:bookmarkEnd w:id="0"/>
    </w:p>
    <w:p w:rsidR="00595E98" w:rsidRDefault="00595E98" w:rsidP="009266E2">
      <w:pPr>
        <w:spacing w:line="360" w:lineRule="auto"/>
        <w:jc w:val="center"/>
        <w:rPr>
          <w:rFonts w:ascii="Calibri" w:eastAsia="Times New Roman" w:hAnsi="Calibri" w:cs="Calibri"/>
          <w:color w:val="222222"/>
          <w:sz w:val="22"/>
          <w:szCs w:val="22"/>
          <w:lang w:eastAsia="en-CA"/>
        </w:rPr>
      </w:pPr>
      <w:r>
        <w:rPr>
          <w:rFonts w:ascii="Calibri" w:eastAsia="Times New Roman" w:hAnsi="Calibri" w:cs="Calibri"/>
          <w:color w:val="222222"/>
          <w:sz w:val="22"/>
          <w:szCs w:val="22"/>
          <w:lang w:eastAsia="en-CA"/>
        </w:rPr>
        <w:t>March</w:t>
      </w:r>
      <w:r w:rsidR="009266E2">
        <w:rPr>
          <w:rFonts w:ascii="Calibri" w:eastAsia="Times New Roman" w:hAnsi="Calibri" w:cs="Calibri"/>
          <w:color w:val="222222"/>
          <w:sz w:val="22"/>
          <w:szCs w:val="22"/>
          <w:lang w:eastAsia="en-CA"/>
        </w:rPr>
        <w:t xml:space="preserve"> 29</w:t>
      </w:r>
      <w:r>
        <w:rPr>
          <w:rFonts w:ascii="Calibri" w:eastAsia="Times New Roman" w:hAnsi="Calibri" w:cs="Calibri"/>
          <w:color w:val="222222"/>
          <w:sz w:val="22"/>
          <w:szCs w:val="22"/>
          <w:lang w:eastAsia="en-CA"/>
        </w:rPr>
        <w:t>, 2018</w:t>
      </w:r>
    </w:p>
    <w:p w:rsidR="00595E98" w:rsidRPr="00595E98" w:rsidRDefault="00595E98" w:rsidP="009266E2">
      <w:pPr>
        <w:jc w:val="both"/>
        <w:rPr>
          <w:rFonts w:ascii="Calibri" w:eastAsia="Times New Roman" w:hAnsi="Calibri" w:cs="Calibri"/>
          <w:i/>
          <w:color w:val="222222"/>
          <w:sz w:val="22"/>
          <w:szCs w:val="22"/>
          <w:lang w:eastAsia="en-CA"/>
        </w:rPr>
      </w:pPr>
      <w:r w:rsidRPr="00595E98">
        <w:rPr>
          <w:rFonts w:ascii="Calibri" w:eastAsia="Times New Roman" w:hAnsi="Calibri" w:cs="Calibri"/>
          <w:i/>
          <w:color w:val="222222"/>
          <w:sz w:val="22"/>
          <w:szCs w:val="22"/>
          <w:lang w:eastAsia="en-CA"/>
        </w:rPr>
        <w:t>Written by:</w:t>
      </w:r>
    </w:p>
    <w:p w:rsidR="00595E98" w:rsidRDefault="00595E98" w:rsidP="009266E2">
      <w:pPr>
        <w:jc w:val="both"/>
        <w:rPr>
          <w:rFonts w:ascii="Calibri" w:eastAsia="Times New Roman" w:hAnsi="Calibri" w:cs="Calibri"/>
          <w:color w:val="222222"/>
          <w:sz w:val="22"/>
          <w:szCs w:val="22"/>
          <w:lang w:eastAsia="en-CA"/>
        </w:rPr>
      </w:pPr>
      <w:r>
        <w:rPr>
          <w:rFonts w:ascii="Calibri" w:eastAsia="Times New Roman" w:hAnsi="Calibri" w:cs="Calibri"/>
          <w:color w:val="222222"/>
          <w:sz w:val="22"/>
          <w:szCs w:val="22"/>
          <w:lang w:eastAsia="en-CA"/>
        </w:rPr>
        <w:t>Sarah Marsden</w:t>
      </w:r>
    </w:p>
    <w:p w:rsidR="00595E98" w:rsidRDefault="00595E98" w:rsidP="009266E2">
      <w:pPr>
        <w:jc w:val="both"/>
        <w:rPr>
          <w:rFonts w:ascii="Calibri" w:eastAsia="Times New Roman" w:hAnsi="Calibri" w:cs="Calibri"/>
          <w:color w:val="222222"/>
          <w:sz w:val="22"/>
          <w:szCs w:val="22"/>
          <w:lang w:eastAsia="en-CA"/>
        </w:rPr>
      </w:pPr>
      <w:r>
        <w:rPr>
          <w:rFonts w:ascii="Calibri" w:eastAsia="Times New Roman" w:hAnsi="Calibri" w:cs="Calibri"/>
          <w:color w:val="222222"/>
          <w:sz w:val="22"/>
          <w:szCs w:val="22"/>
          <w:lang w:eastAsia="en-CA"/>
        </w:rPr>
        <w:t>Gemma Smyth</w:t>
      </w:r>
    </w:p>
    <w:p w:rsidR="00595E98" w:rsidRDefault="00595E98" w:rsidP="009266E2">
      <w:pPr>
        <w:jc w:val="both"/>
        <w:rPr>
          <w:rFonts w:ascii="Calibri" w:eastAsia="Times New Roman" w:hAnsi="Calibri" w:cs="Calibri"/>
          <w:color w:val="222222"/>
          <w:sz w:val="22"/>
          <w:szCs w:val="22"/>
          <w:lang w:eastAsia="en-CA"/>
        </w:rPr>
      </w:pPr>
      <w:r>
        <w:rPr>
          <w:rFonts w:ascii="Calibri" w:eastAsia="Times New Roman" w:hAnsi="Calibri" w:cs="Calibri"/>
          <w:color w:val="222222"/>
          <w:sz w:val="22"/>
          <w:szCs w:val="22"/>
          <w:lang w:eastAsia="en-CA"/>
        </w:rPr>
        <w:t>Patricia Barkaskas</w:t>
      </w:r>
    </w:p>
    <w:p w:rsidR="00595E98" w:rsidRDefault="00595E98" w:rsidP="009266E2">
      <w:pPr>
        <w:jc w:val="both"/>
        <w:rPr>
          <w:rFonts w:ascii="Calibri" w:eastAsia="Times New Roman" w:hAnsi="Calibri" w:cs="Calibri"/>
          <w:color w:val="222222"/>
          <w:sz w:val="22"/>
          <w:szCs w:val="22"/>
          <w:lang w:eastAsia="en-CA"/>
        </w:rPr>
      </w:pPr>
      <w:r>
        <w:rPr>
          <w:rFonts w:ascii="Calibri" w:eastAsia="Times New Roman" w:hAnsi="Calibri" w:cs="Calibri"/>
          <w:color w:val="222222"/>
          <w:sz w:val="22"/>
          <w:szCs w:val="22"/>
          <w:lang w:eastAsia="en-CA"/>
        </w:rPr>
        <w:t>Doug Ferguson</w:t>
      </w:r>
    </w:p>
    <w:p w:rsidR="00595E98" w:rsidRDefault="00595E98" w:rsidP="009266E2">
      <w:pPr>
        <w:jc w:val="both"/>
        <w:rPr>
          <w:rFonts w:ascii="Calibri" w:eastAsia="Times New Roman" w:hAnsi="Calibri" w:cs="Calibri"/>
          <w:color w:val="222222"/>
          <w:sz w:val="22"/>
          <w:szCs w:val="22"/>
          <w:lang w:eastAsia="en-CA"/>
        </w:rPr>
      </w:pPr>
      <w:r>
        <w:rPr>
          <w:rFonts w:ascii="Calibri" w:eastAsia="Times New Roman" w:hAnsi="Calibri" w:cs="Calibri"/>
          <w:color w:val="222222"/>
          <w:sz w:val="22"/>
          <w:szCs w:val="22"/>
          <w:lang w:eastAsia="en-CA"/>
        </w:rPr>
        <w:t>Michelle Christopher</w:t>
      </w:r>
    </w:p>
    <w:p w:rsidR="00242B87" w:rsidRDefault="00242B87" w:rsidP="009266E2">
      <w:pPr>
        <w:spacing w:line="360" w:lineRule="auto"/>
        <w:jc w:val="both"/>
        <w:rPr>
          <w:rFonts w:ascii="Calibri" w:eastAsia="Times New Roman" w:hAnsi="Calibri" w:cs="Calibri"/>
          <w:color w:val="222222"/>
          <w:sz w:val="22"/>
          <w:szCs w:val="22"/>
          <w:lang w:eastAsia="en-CA"/>
        </w:rPr>
      </w:pPr>
    </w:p>
    <w:p w:rsidR="00595E98" w:rsidRPr="00595E98" w:rsidRDefault="00595E98" w:rsidP="009266E2">
      <w:pPr>
        <w:spacing w:line="360" w:lineRule="auto"/>
        <w:jc w:val="both"/>
        <w:rPr>
          <w:rFonts w:ascii="Calibri" w:eastAsia="Times New Roman" w:hAnsi="Calibri" w:cs="Calibri"/>
          <w:color w:val="222222"/>
          <w:sz w:val="22"/>
          <w:szCs w:val="22"/>
          <w:u w:val="single"/>
          <w:lang w:eastAsia="en-CA"/>
        </w:rPr>
      </w:pPr>
      <w:r w:rsidRPr="00595E98">
        <w:rPr>
          <w:rFonts w:ascii="Calibri" w:eastAsia="Times New Roman" w:hAnsi="Calibri" w:cs="Calibri"/>
          <w:color w:val="222222"/>
          <w:sz w:val="22"/>
          <w:szCs w:val="22"/>
          <w:u w:val="single"/>
          <w:lang w:eastAsia="en-CA"/>
        </w:rPr>
        <w:t>Introduction</w:t>
      </w:r>
    </w:p>
    <w:p w:rsidR="00595E98" w:rsidRDefault="00595E98" w:rsidP="009266E2">
      <w:pPr>
        <w:spacing w:line="360" w:lineRule="auto"/>
        <w:jc w:val="both"/>
        <w:rPr>
          <w:rFonts w:ascii="Calibri" w:eastAsia="Times New Roman" w:hAnsi="Calibri" w:cs="Calibri"/>
          <w:color w:val="222222"/>
          <w:sz w:val="22"/>
          <w:szCs w:val="22"/>
          <w:lang w:eastAsia="en-CA"/>
        </w:rPr>
      </w:pPr>
    </w:p>
    <w:p w:rsidR="00704637" w:rsidRDefault="00595E98" w:rsidP="009266E2">
      <w:pPr>
        <w:spacing w:line="360" w:lineRule="auto"/>
        <w:jc w:val="both"/>
        <w:rPr>
          <w:rFonts w:ascii="Calibri" w:eastAsia="Times New Roman" w:hAnsi="Calibri" w:cs="Calibri"/>
          <w:color w:val="222222"/>
          <w:sz w:val="22"/>
          <w:szCs w:val="22"/>
          <w:lang w:eastAsia="en-CA"/>
        </w:rPr>
      </w:pPr>
      <w:r>
        <w:rPr>
          <w:rFonts w:ascii="Calibri" w:eastAsia="Times New Roman" w:hAnsi="Calibri" w:cs="Calibri"/>
          <w:color w:val="222222"/>
          <w:sz w:val="22"/>
          <w:szCs w:val="22"/>
          <w:lang w:eastAsia="en-CA"/>
        </w:rPr>
        <w:t xml:space="preserve">The Policy Committee is comprised of members of the Board of Directors of the Association for Canadian Clinical Legal Education. As part of ACCLE’s Strategic Planning for 2017-2018, the Board hoped to better understand the unique issues facing clinicians, academics involved in clinical legal education, and those who hold job titles in both worlds. In 2018, we surveyed our membership about their concerns. This Report contains highlights of the responses from clinicians across Canada. As we indicated in the survey, this information will be used to guide our </w:t>
      </w:r>
      <w:r w:rsidR="00704637">
        <w:rPr>
          <w:rFonts w:ascii="Calibri" w:eastAsia="Times New Roman" w:hAnsi="Calibri" w:cs="Calibri"/>
          <w:color w:val="222222"/>
          <w:sz w:val="22"/>
          <w:szCs w:val="22"/>
          <w:lang w:eastAsia="en-CA"/>
        </w:rPr>
        <w:t xml:space="preserve">advocacy and strategic planning. </w:t>
      </w:r>
    </w:p>
    <w:p w:rsidR="00704637" w:rsidRDefault="00704637" w:rsidP="009266E2">
      <w:pPr>
        <w:spacing w:line="360" w:lineRule="auto"/>
        <w:jc w:val="both"/>
        <w:rPr>
          <w:rFonts w:ascii="Calibri" w:eastAsia="Times New Roman" w:hAnsi="Calibri" w:cs="Calibri"/>
          <w:color w:val="222222"/>
          <w:sz w:val="22"/>
          <w:szCs w:val="22"/>
          <w:lang w:eastAsia="en-CA"/>
        </w:rPr>
      </w:pPr>
    </w:p>
    <w:p w:rsidR="00880C45" w:rsidRPr="00880C45" w:rsidRDefault="00704637" w:rsidP="009266E2">
      <w:pPr>
        <w:spacing w:line="360" w:lineRule="auto"/>
        <w:jc w:val="both"/>
        <w:rPr>
          <w:rFonts w:ascii="Calibri" w:eastAsia="Times New Roman" w:hAnsi="Calibri" w:cs="Calibri"/>
          <w:color w:val="222222"/>
          <w:sz w:val="22"/>
          <w:szCs w:val="22"/>
          <w:lang w:eastAsia="en-CA"/>
        </w:rPr>
      </w:pPr>
      <w:r>
        <w:rPr>
          <w:rFonts w:ascii="Calibri" w:eastAsia="Times New Roman" w:hAnsi="Calibri" w:cs="Calibri"/>
          <w:color w:val="222222"/>
          <w:sz w:val="22"/>
          <w:szCs w:val="22"/>
          <w:lang w:eastAsia="en-CA"/>
        </w:rPr>
        <w:t xml:space="preserve">We reviewed the data and selected three primary, overarching themes: the working conditions and status of clinicians, operational concerns, and pedagogical and instructional supports. We have removed any information that might identify a specific respondent or clinical program. Below, we review each theme in turn with a few representative quotes. </w:t>
      </w:r>
      <w:r w:rsidR="00242B87">
        <w:rPr>
          <w:rFonts w:ascii="Calibri" w:eastAsia="Times New Roman" w:hAnsi="Calibri" w:cs="Calibri"/>
          <w:color w:val="222222"/>
          <w:sz w:val="22"/>
          <w:szCs w:val="22"/>
          <w:lang w:eastAsia="en-CA"/>
        </w:rPr>
        <w:t xml:space="preserve">Based on the responses, we also set out possible pathways that ACCLE might choose. </w:t>
      </w:r>
      <w:r>
        <w:rPr>
          <w:rFonts w:ascii="Calibri" w:eastAsia="Times New Roman" w:hAnsi="Calibri" w:cs="Calibri"/>
          <w:color w:val="222222"/>
          <w:sz w:val="22"/>
          <w:szCs w:val="22"/>
          <w:lang w:eastAsia="en-CA"/>
        </w:rPr>
        <w:t>We will discuss this Report with the ACCLE Membership with a view to developing a concrete action plan to guide our work.</w:t>
      </w:r>
      <w:r w:rsidR="00242B87">
        <w:rPr>
          <w:rFonts w:ascii="Calibri" w:eastAsia="Times New Roman" w:hAnsi="Calibri" w:cs="Calibri"/>
          <w:color w:val="222222"/>
          <w:sz w:val="22"/>
          <w:szCs w:val="22"/>
          <w:lang w:eastAsia="en-CA"/>
        </w:rPr>
        <w:t xml:space="preserve"> Please note that we use the gender inclusive term “they” throughout rather than s/he. </w:t>
      </w:r>
      <w:r>
        <w:rPr>
          <w:rFonts w:ascii="Calibri" w:eastAsia="Times New Roman" w:hAnsi="Calibri" w:cs="Calibri"/>
          <w:color w:val="222222"/>
          <w:sz w:val="22"/>
          <w:szCs w:val="22"/>
          <w:lang w:eastAsia="en-CA"/>
        </w:rPr>
        <w:t xml:space="preserve"> </w:t>
      </w:r>
      <w:r w:rsidR="00880C45" w:rsidRPr="00880C45">
        <w:rPr>
          <w:rFonts w:ascii="Calibri" w:eastAsia="Times New Roman" w:hAnsi="Calibri" w:cs="Calibri"/>
          <w:color w:val="000000"/>
          <w:sz w:val="22"/>
          <w:szCs w:val="22"/>
          <w:lang w:val="en-CA"/>
        </w:rPr>
        <w:t> </w:t>
      </w:r>
    </w:p>
    <w:p w:rsidR="00880C45" w:rsidRDefault="00880C45" w:rsidP="009266E2">
      <w:pPr>
        <w:spacing w:line="360" w:lineRule="auto"/>
        <w:jc w:val="both"/>
        <w:rPr>
          <w:rFonts w:ascii="Calibri" w:eastAsia="Times New Roman" w:hAnsi="Calibri" w:cs="Calibri"/>
          <w:color w:val="000000"/>
          <w:sz w:val="22"/>
          <w:szCs w:val="22"/>
          <w:lang w:val="en-CA"/>
        </w:rPr>
      </w:pPr>
      <w:r w:rsidRPr="00880C45">
        <w:rPr>
          <w:rFonts w:ascii="Calibri" w:eastAsia="Times New Roman" w:hAnsi="Calibri" w:cs="Calibri"/>
          <w:color w:val="000000"/>
          <w:sz w:val="22"/>
          <w:szCs w:val="22"/>
          <w:lang w:val="en-CA"/>
        </w:rPr>
        <w:t> </w:t>
      </w:r>
    </w:p>
    <w:p w:rsidR="00704637" w:rsidRPr="00704637" w:rsidRDefault="00704637" w:rsidP="009266E2">
      <w:pPr>
        <w:spacing w:line="360" w:lineRule="auto"/>
        <w:jc w:val="both"/>
        <w:rPr>
          <w:rFonts w:ascii="Calibri" w:eastAsia="Times New Roman" w:hAnsi="Calibri" w:cs="Calibri"/>
          <w:color w:val="000000"/>
          <w:sz w:val="22"/>
          <w:szCs w:val="22"/>
          <w:u w:val="single"/>
          <w:lang w:val="en-CA"/>
        </w:rPr>
      </w:pPr>
      <w:r>
        <w:rPr>
          <w:rFonts w:ascii="Calibri" w:eastAsia="Times New Roman" w:hAnsi="Calibri" w:cs="Calibri"/>
          <w:color w:val="000000"/>
          <w:sz w:val="22"/>
          <w:szCs w:val="22"/>
          <w:u w:val="single"/>
          <w:lang w:val="en-CA"/>
        </w:rPr>
        <w:t>Background</w:t>
      </w:r>
    </w:p>
    <w:p w:rsidR="00704637" w:rsidRDefault="00704637" w:rsidP="009266E2">
      <w:pPr>
        <w:shd w:val="clear" w:color="auto" w:fill="FFFFFF"/>
        <w:spacing w:line="360" w:lineRule="auto"/>
        <w:jc w:val="both"/>
        <w:rPr>
          <w:rFonts w:ascii="Calibri" w:eastAsia="Times New Roman" w:hAnsi="Calibri" w:cs="Calibri"/>
          <w:color w:val="222222"/>
          <w:sz w:val="22"/>
          <w:szCs w:val="22"/>
          <w:lang w:val="en-CA" w:eastAsia="en-CA"/>
        </w:rPr>
      </w:pPr>
    </w:p>
    <w:p w:rsidR="00704637" w:rsidRDefault="00704637" w:rsidP="009266E2">
      <w:pPr>
        <w:shd w:val="clear" w:color="auto" w:fill="FFFFFF"/>
        <w:spacing w:line="360" w:lineRule="auto"/>
        <w:jc w:val="both"/>
        <w:rPr>
          <w:rFonts w:ascii="Calibri" w:eastAsia="Times New Roman" w:hAnsi="Calibri" w:cs="Calibri"/>
          <w:color w:val="222222"/>
          <w:sz w:val="22"/>
          <w:szCs w:val="22"/>
          <w:lang w:val="en-CA" w:eastAsia="en-CA"/>
        </w:rPr>
      </w:pPr>
      <w:r>
        <w:rPr>
          <w:rFonts w:ascii="Calibri" w:eastAsia="Times New Roman" w:hAnsi="Calibri" w:cs="Calibri"/>
          <w:color w:val="222222"/>
          <w:sz w:val="22"/>
          <w:szCs w:val="22"/>
          <w:lang w:val="en-CA" w:eastAsia="en-CA"/>
        </w:rPr>
        <w:t xml:space="preserve">Of the respondents, </w:t>
      </w:r>
      <w:r w:rsidRPr="00704637">
        <w:rPr>
          <w:rFonts w:ascii="Calibri" w:eastAsia="Times New Roman" w:hAnsi="Calibri" w:cs="Calibri"/>
          <w:color w:val="222222"/>
          <w:sz w:val="22"/>
          <w:szCs w:val="22"/>
          <w:lang w:val="en-CA" w:eastAsia="en-CA"/>
        </w:rPr>
        <w:t xml:space="preserve">15% </w:t>
      </w:r>
      <w:r>
        <w:rPr>
          <w:rFonts w:ascii="Calibri" w:eastAsia="Times New Roman" w:hAnsi="Calibri" w:cs="Calibri"/>
          <w:color w:val="222222"/>
          <w:sz w:val="22"/>
          <w:szCs w:val="22"/>
          <w:lang w:val="en-CA" w:eastAsia="en-CA"/>
        </w:rPr>
        <w:t>identified themselves as academic-clinicians and 85% identified themselves as clinicians (including supervising lawyers, directors and clinic instructors). 3% self-identified as “other”. This suggests to us that the vast majority of clinicians are not employed as faculty members in law schools.</w:t>
      </w:r>
    </w:p>
    <w:p w:rsidR="00704637" w:rsidRDefault="00704637" w:rsidP="009266E2">
      <w:pPr>
        <w:shd w:val="clear" w:color="auto" w:fill="FFFFFF"/>
        <w:spacing w:line="360" w:lineRule="auto"/>
        <w:jc w:val="both"/>
        <w:rPr>
          <w:rFonts w:ascii="Calibri" w:eastAsia="Times New Roman" w:hAnsi="Calibri" w:cs="Calibri"/>
          <w:color w:val="222222"/>
          <w:sz w:val="22"/>
          <w:szCs w:val="22"/>
          <w:lang w:val="en-CA" w:eastAsia="en-CA"/>
        </w:rPr>
      </w:pPr>
    </w:p>
    <w:p w:rsidR="00704637" w:rsidRPr="00704637" w:rsidRDefault="00704637" w:rsidP="009266E2">
      <w:pPr>
        <w:shd w:val="clear" w:color="auto" w:fill="FFFFFF"/>
        <w:spacing w:line="360" w:lineRule="auto"/>
        <w:jc w:val="both"/>
        <w:rPr>
          <w:rFonts w:ascii="Calibri" w:eastAsia="Times New Roman" w:hAnsi="Calibri" w:cs="Calibri"/>
          <w:color w:val="222222"/>
          <w:sz w:val="22"/>
          <w:szCs w:val="22"/>
          <w:lang w:val="en-CA" w:eastAsia="en-CA"/>
        </w:rPr>
      </w:pPr>
      <w:r>
        <w:rPr>
          <w:rFonts w:ascii="Calibri" w:eastAsia="Times New Roman" w:hAnsi="Calibri" w:cs="Calibri"/>
          <w:color w:val="222222"/>
          <w:sz w:val="22"/>
          <w:szCs w:val="22"/>
          <w:lang w:val="en-CA" w:eastAsia="en-CA"/>
        </w:rPr>
        <w:lastRenderedPageBreak/>
        <w:t>Respondents also reported on their funding structures. The total here is more than 100% as many clinics are funded by more than one source. The largest percentage of respondent legal clinics are funded by Government Legal Aid (50%). Universities fund 36% of clinics, as do Law Foundations. 11% of clinics also receive charitable donations. 32% of respondents responded they receive “other” funds which, unfortunately, we did not require them to specify. This could include funding from collaborative research gran</w:t>
      </w:r>
      <w:r w:rsidR="0065125C">
        <w:rPr>
          <w:rFonts w:ascii="Calibri" w:eastAsia="Times New Roman" w:hAnsi="Calibri" w:cs="Calibri"/>
          <w:color w:val="222222"/>
          <w:sz w:val="22"/>
          <w:szCs w:val="22"/>
          <w:lang w:val="en-CA" w:eastAsia="en-CA"/>
        </w:rPr>
        <w:t>ts, othe</w:t>
      </w:r>
      <w:r w:rsidR="004902EE">
        <w:rPr>
          <w:rFonts w:ascii="Calibri" w:eastAsia="Times New Roman" w:hAnsi="Calibri" w:cs="Calibri"/>
          <w:color w:val="222222"/>
          <w:sz w:val="22"/>
          <w:szCs w:val="22"/>
          <w:lang w:val="en-CA" w:eastAsia="en-CA"/>
        </w:rPr>
        <w:t>r foundation grants, private reven</w:t>
      </w:r>
      <w:r w:rsidR="0065125C">
        <w:rPr>
          <w:rFonts w:ascii="Calibri" w:eastAsia="Times New Roman" w:hAnsi="Calibri" w:cs="Calibri"/>
          <w:color w:val="222222"/>
          <w:sz w:val="22"/>
          <w:szCs w:val="22"/>
          <w:lang w:val="en-CA" w:eastAsia="en-CA"/>
        </w:rPr>
        <w:t xml:space="preserve">ue models, cost sharing with other bodies, or other sources. </w:t>
      </w:r>
    </w:p>
    <w:p w:rsidR="00242B87" w:rsidRPr="00880C45" w:rsidRDefault="00242B87" w:rsidP="009266E2">
      <w:pPr>
        <w:spacing w:line="360" w:lineRule="auto"/>
        <w:jc w:val="both"/>
        <w:rPr>
          <w:rFonts w:ascii="Calibri" w:eastAsia="Times New Roman" w:hAnsi="Calibri" w:cs="Calibri"/>
          <w:color w:val="000000"/>
          <w:lang w:val="en-CA"/>
        </w:rPr>
      </w:pPr>
    </w:p>
    <w:p w:rsidR="00880C45" w:rsidRPr="00880C45" w:rsidRDefault="00704637" w:rsidP="009266E2">
      <w:pPr>
        <w:spacing w:line="360" w:lineRule="auto"/>
        <w:jc w:val="both"/>
        <w:rPr>
          <w:rFonts w:ascii="Calibri" w:eastAsia="Times New Roman" w:hAnsi="Calibri" w:cs="Calibri"/>
          <w:color w:val="000000"/>
          <w:lang w:val="en-CA"/>
        </w:rPr>
      </w:pPr>
      <w:r>
        <w:rPr>
          <w:rFonts w:ascii="Calibri" w:eastAsia="Times New Roman" w:hAnsi="Calibri" w:cs="Calibri"/>
          <w:b/>
          <w:bCs/>
          <w:color w:val="000000"/>
          <w:sz w:val="22"/>
          <w:szCs w:val="22"/>
          <w:lang w:val="en-CA"/>
        </w:rPr>
        <w:t xml:space="preserve">Theme 1: </w:t>
      </w:r>
      <w:r w:rsidR="00880C45" w:rsidRPr="00880C45">
        <w:rPr>
          <w:rFonts w:ascii="Calibri" w:eastAsia="Times New Roman" w:hAnsi="Calibri" w:cs="Calibri"/>
          <w:b/>
          <w:bCs/>
          <w:color w:val="000000"/>
          <w:sz w:val="22"/>
          <w:szCs w:val="22"/>
          <w:lang w:val="en-CA"/>
        </w:rPr>
        <w:t>Working conditions and status of clinicians</w:t>
      </w:r>
    </w:p>
    <w:p w:rsidR="00880C45" w:rsidRPr="00880C45" w:rsidRDefault="00880C45" w:rsidP="009266E2">
      <w:pPr>
        <w:spacing w:line="360" w:lineRule="auto"/>
        <w:jc w:val="both"/>
        <w:rPr>
          <w:rFonts w:ascii="Calibri" w:eastAsia="Times New Roman" w:hAnsi="Calibri" w:cs="Calibri"/>
          <w:color w:val="000000"/>
          <w:lang w:val="en-CA"/>
        </w:rPr>
      </w:pPr>
      <w:r w:rsidRPr="00880C45">
        <w:rPr>
          <w:rFonts w:ascii="Calibri" w:eastAsia="Times New Roman" w:hAnsi="Calibri" w:cs="Calibri"/>
          <w:b/>
          <w:bCs/>
          <w:color w:val="000000"/>
          <w:sz w:val="22"/>
          <w:szCs w:val="22"/>
          <w:lang w:val="en-CA"/>
        </w:rPr>
        <w:t> </w:t>
      </w:r>
    </w:p>
    <w:p w:rsidR="00615236" w:rsidRDefault="00704637" w:rsidP="009266E2">
      <w:pPr>
        <w:spacing w:line="360" w:lineRule="auto"/>
        <w:jc w:val="both"/>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t xml:space="preserve">Respondents were concerned about several issues related to their working conditions and status. </w:t>
      </w:r>
      <w:r w:rsidR="0065125C">
        <w:rPr>
          <w:rFonts w:ascii="Calibri" w:eastAsia="Times New Roman" w:hAnsi="Calibri" w:cs="Calibri"/>
          <w:color w:val="000000"/>
          <w:sz w:val="22"/>
          <w:szCs w:val="22"/>
          <w:lang w:val="en-CA"/>
        </w:rPr>
        <w:t>The largest percentage was concerned about how clin</w:t>
      </w:r>
      <w:r w:rsidR="00242B87">
        <w:rPr>
          <w:rFonts w:ascii="Calibri" w:eastAsia="Times New Roman" w:hAnsi="Calibri" w:cs="Calibri"/>
          <w:color w:val="000000"/>
          <w:sz w:val="22"/>
          <w:szCs w:val="22"/>
          <w:lang w:val="en-CA"/>
        </w:rPr>
        <w:t>ics are treated vis-à-vis the rest of the law school curriculum</w:t>
      </w:r>
      <w:r w:rsidR="0065125C">
        <w:rPr>
          <w:rFonts w:ascii="Calibri" w:eastAsia="Times New Roman" w:hAnsi="Calibri" w:cs="Calibri"/>
          <w:color w:val="000000"/>
          <w:sz w:val="22"/>
          <w:szCs w:val="22"/>
          <w:lang w:val="en-CA"/>
        </w:rPr>
        <w:t xml:space="preserve"> and</w:t>
      </w:r>
      <w:r w:rsidR="00242B87">
        <w:rPr>
          <w:rFonts w:ascii="Calibri" w:eastAsia="Times New Roman" w:hAnsi="Calibri" w:cs="Calibri"/>
          <w:color w:val="000000"/>
          <w:sz w:val="22"/>
          <w:szCs w:val="22"/>
          <w:lang w:val="en-CA"/>
        </w:rPr>
        <w:t xml:space="preserve"> other law school</w:t>
      </w:r>
      <w:r w:rsidR="0065125C">
        <w:rPr>
          <w:rFonts w:ascii="Calibri" w:eastAsia="Times New Roman" w:hAnsi="Calibri" w:cs="Calibri"/>
          <w:color w:val="000000"/>
          <w:sz w:val="22"/>
          <w:szCs w:val="22"/>
          <w:lang w:val="en-CA"/>
        </w:rPr>
        <w:t xml:space="preserve"> employees</w:t>
      </w:r>
      <w:r w:rsidR="00242B87">
        <w:rPr>
          <w:rFonts w:ascii="Calibri" w:eastAsia="Times New Roman" w:hAnsi="Calibri" w:cs="Calibri"/>
          <w:color w:val="000000"/>
          <w:sz w:val="22"/>
          <w:szCs w:val="22"/>
          <w:lang w:val="en-CA"/>
        </w:rPr>
        <w:t xml:space="preserve"> (especially professors)</w:t>
      </w:r>
      <w:r w:rsidR="0065125C">
        <w:rPr>
          <w:rFonts w:ascii="Calibri" w:eastAsia="Times New Roman" w:hAnsi="Calibri" w:cs="Calibri"/>
          <w:color w:val="000000"/>
          <w:sz w:val="22"/>
          <w:szCs w:val="22"/>
          <w:lang w:val="en-CA"/>
        </w:rPr>
        <w:t xml:space="preserve">. Similar to other reports in the U.S. and Canada, respondents were seeking to be considered a central part of the law school’s mission rather than “extraneous”. </w:t>
      </w:r>
      <w:r w:rsidR="00615236">
        <w:rPr>
          <w:rFonts w:ascii="Calibri" w:eastAsia="Times New Roman" w:hAnsi="Calibri" w:cs="Calibri"/>
          <w:color w:val="000000"/>
          <w:sz w:val="22"/>
          <w:szCs w:val="22"/>
          <w:lang w:val="en-CA"/>
        </w:rPr>
        <w:t xml:space="preserve">According to respondents, clinical legal education remains </w:t>
      </w:r>
      <w:r w:rsidR="00615236">
        <w:rPr>
          <w:sz w:val="22"/>
          <w:szCs w:val="22"/>
          <w:lang w:val="en-CA"/>
        </w:rPr>
        <w:t>devalued in the overall mission of law schools and legal research. As one respondent noted, their work “…</w:t>
      </w:r>
      <w:r w:rsidR="00615236" w:rsidRPr="00FF7B81">
        <w:rPr>
          <w:sz w:val="22"/>
          <w:szCs w:val="22"/>
          <w:lang w:val="en-CA"/>
        </w:rPr>
        <w:t>was not valued as ‘research’, it wasn’t ‘service’ and there was no way for the institution to measure this work as meaningful within its existing parameters …”</w:t>
      </w:r>
      <w:r w:rsidR="00615236">
        <w:rPr>
          <w:sz w:val="22"/>
          <w:szCs w:val="22"/>
          <w:lang w:val="en-CA"/>
        </w:rPr>
        <w:t xml:space="preserve">. Another respondent noted the </w:t>
      </w:r>
      <w:r w:rsidR="00615236" w:rsidRPr="00FF7B81">
        <w:rPr>
          <w:sz w:val="22"/>
          <w:szCs w:val="22"/>
          <w:lang w:val="en-CA"/>
        </w:rPr>
        <w:t>“divide be</w:t>
      </w:r>
      <w:r w:rsidR="00615236">
        <w:rPr>
          <w:sz w:val="22"/>
          <w:szCs w:val="22"/>
          <w:lang w:val="en-CA"/>
        </w:rPr>
        <w:t>tween academics and clinicians” in</w:t>
      </w:r>
      <w:r w:rsidR="00615236" w:rsidRPr="00FF7B81">
        <w:rPr>
          <w:sz w:val="22"/>
          <w:szCs w:val="22"/>
          <w:lang w:val="en-CA"/>
        </w:rPr>
        <w:t xml:space="preserve"> </w:t>
      </w:r>
      <w:r w:rsidR="00615236">
        <w:rPr>
          <w:sz w:val="22"/>
          <w:szCs w:val="22"/>
          <w:lang w:val="en-CA"/>
        </w:rPr>
        <w:t>“</w:t>
      </w:r>
      <w:r w:rsidR="00615236" w:rsidRPr="00FF7B81">
        <w:rPr>
          <w:sz w:val="22"/>
          <w:szCs w:val="22"/>
          <w:lang w:val="en-CA"/>
        </w:rPr>
        <w:t>pay, status, and importance”</w:t>
      </w:r>
      <w:r w:rsidR="00615236">
        <w:rPr>
          <w:sz w:val="22"/>
          <w:szCs w:val="22"/>
          <w:lang w:val="en-CA"/>
        </w:rPr>
        <w:t>.</w:t>
      </w:r>
    </w:p>
    <w:p w:rsidR="00615236" w:rsidRDefault="00615236" w:rsidP="009266E2">
      <w:pPr>
        <w:spacing w:line="360" w:lineRule="auto"/>
        <w:jc w:val="both"/>
        <w:rPr>
          <w:rFonts w:ascii="Calibri" w:eastAsia="Times New Roman" w:hAnsi="Calibri" w:cs="Calibri"/>
          <w:color w:val="000000"/>
          <w:sz w:val="22"/>
          <w:szCs w:val="22"/>
          <w:lang w:val="en-CA"/>
        </w:rPr>
      </w:pPr>
    </w:p>
    <w:p w:rsidR="0065125C" w:rsidRDefault="0065125C" w:rsidP="009266E2">
      <w:pPr>
        <w:spacing w:line="360" w:lineRule="auto"/>
        <w:jc w:val="both"/>
        <w:rPr>
          <w:rFonts w:ascii="Calibri" w:eastAsia="Times New Roman" w:hAnsi="Calibri" w:cs="Calibri"/>
          <w:color w:val="222222"/>
          <w:sz w:val="22"/>
          <w:szCs w:val="22"/>
          <w:lang w:val="en-CA" w:eastAsia="en-CA"/>
        </w:rPr>
      </w:pPr>
      <w:r>
        <w:rPr>
          <w:rFonts w:ascii="Calibri" w:eastAsia="Times New Roman" w:hAnsi="Calibri" w:cs="Calibri"/>
          <w:color w:val="222222"/>
          <w:sz w:val="22"/>
          <w:szCs w:val="22"/>
          <w:lang w:val="en-CA" w:eastAsia="en-CA"/>
        </w:rPr>
        <w:t>A</w:t>
      </w:r>
      <w:r w:rsidRPr="0065125C">
        <w:rPr>
          <w:rFonts w:ascii="Calibri" w:eastAsia="Times New Roman" w:hAnsi="Calibri" w:cs="Calibri"/>
          <w:color w:val="222222"/>
          <w:sz w:val="22"/>
          <w:szCs w:val="22"/>
          <w:lang w:val="en-CA" w:eastAsia="en-CA"/>
        </w:rPr>
        <w:t xml:space="preserve">cademic </w:t>
      </w:r>
      <w:r>
        <w:rPr>
          <w:rFonts w:ascii="Calibri" w:eastAsia="Times New Roman" w:hAnsi="Calibri" w:cs="Calibri"/>
          <w:color w:val="222222"/>
          <w:sz w:val="22"/>
          <w:szCs w:val="22"/>
          <w:lang w:val="en-CA" w:eastAsia="en-CA"/>
        </w:rPr>
        <w:t xml:space="preserve">“recognition” and “acknowledgement” </w:t>
      </w:r>
      <w:r w:rsidR="00615236">
        <w:rPr>
          <w:rFonts w:ascii="Calibri" w:eastAsia="Times New Roman" w:hAnsi="Calibri" w:cs="Calibri"/>
          <w:color w:val="222222"/>
          <w:sz w:val="22"/>
          <w:szCs w:val="22"/>
          <w:lang w:val="en-CA" w:eastAsia="en-CA"/>
        </w:rPr>
        <w:t>were</w:t>
      </w:r>
      <w:r>
        <w:rPr>
          <w:rFonts w:ascii="Calibri" w:eastAsia="Times New Roman" w:hAnsi="Calibri" w:cs="Calibri"/>
          <w:color w:val="222222"/>
          <w:sz w:val="22"/>
          <w:szCs w:val="22"/>
          <w:lang w:val="en-CA" w:eastAsia="en-CA"/>
        </w:rPr>
        <w:t xml:space="preserve"> significant issue</w:t>
      </w:r>
      <w:r w:rsidR="00615236">
        <w:rPr>
          <w:rFonts w:ascii="Calibri" w:eastAsia="Times New Roman" w:hAnsi="Calibri" w:cs="Calibri"/>
          <w:color w:val="222222"/>
          <w:sz w:val="22"/>
          <w:szCs w:val="22"/>
          <w:lang w:val="en-CA" w:eastAsia="en-CA"/>
        </w:rPr>
        <w:t>s</w:t>
      </w:r>
      <w:r>
        <w:rPr>
          <w:rFonts w:ascii="Calibri" w:eastAsia="Times New Roman" w:hAnsi="Calibri" w:cs="Calibri"/>
          <w:color w:val="222222"/>
          <w:sz w:val="22"/>
          <w:szCs w:val="22"/>
          <w:lang w:val="en-CA" w:eastAsia="en-CA"/>
        </w:rPr>
        <w:t xml:space="preserve">, as </w:t>
      </w:r>
      <w:r w:rsidR="00615236">
        <w:rPr>
          <w:rFonts w:ascii="Calibri" w:eastAsia="Times New Roman" w:hAnsi="Calibri" w:cs="Calibri"/>
          <w:color w:val="222222"/>
          <w:sz w:val="22"/>
          <w:szCs w:val="22"/>
          <w:lang w:val="en-CA" w:eastAsia="en-CA"/>
        </w:rPr>
        <w:t>was the importance of creating</w:t>
      </w:r>
      <w:r w:rsidR="00242B87">
        <w:rPr>
          <w:rFonts w:ascii="Calibri" w:eastAsia="Times New Roman" w:hAnsi="Calibri" w:cs="Calibri"/>
          <w:color w:val="222222"/>
          <w:sz w:val="22"/>
          <w:szCs w:val="22"/>
          <w:lang w:val="en-CA" w:eastAsia="en-CA"/>
        </w:rPr>
        <w:t xml:space="preserve"> pathways to </w:t>
      </w:r>
      <w:r>
        <w:rPr>
          <w:rFonts w:ascii="Calibri" w:eastAsia="Times New Roman" w:hAnsi="Calibri" w:cs="Calibri"/>
          <w:color w:val="222222"/>
          <w:sz w:val="22"/>
          <w:szCs w:val="22"/>
          <w:lang w:val="en-CA" w:eastAsia="en-CA"/>
        </w:rPr>
        <w:t xml:space="preserve">permanence. </w:t>
      </w:r>
      <w:r w:rsidR="00242B87">
        <w:rPr>
          <w:rFonts w:ascii="Calibri" w:eastAsia="Times New Roman" w:hAnsi="Calibri" w:cs="Calibri"/>
          <w:color w:val="222222"/>
          <w:sz w:val="22"/>
          <w:szCs w:val="22"/>
          <w:lang w:val="en-CA" w:eastAsia="en-CA"/>
        </w:rPr>
        <w:t>For those with pathways to permanence (typically, tenure), r</w:t>
      </w:r>
      <w:r>
        <w:rPr>
          <w:rFonts w:ascii="Calibri" w:eastAsia="Times New Roman" w:hAnsi="Calibri" w:cs="Calibri"/>
          <w:color w:val="222222"/>
          <w:sz w:val="22"/>
          <w:szCs w:val="22"/>
          <w:lang w:val="en-CA" w:eastAsia="en-CA"/>
        </w:rPr>
        <w:t>espondents reported</w:t>
      </w:r>
      <w:r w:rsidR="00242B87">
        <w:rPr>
          <w:rFonts w:ascii="Calibri" w:eastAsia="Times New Roman" w:hAnsi="Calibri" w:cs="Calibri"/>
          <w:color w:val="222222"/>
          <w:sz w:val="22"/>
          <w:szCs w:val="22"/>
          <w:lang w:val="en-CA" w:eastAsia="en-CA"/>
        </w:rPr>
        <w:t xml:space="preserve"> concerns about unclear job duties, high expectations in multiple categories, and conflicting roles. One respondent noted</w:t>
      </w:r>
      <w:r>
        <w:rPr>
          <w:rFonts w:ascii="Calibri" w:eastAsia="Times New Roman" w:hAnsi="Calibri" w:cs="Calibri"/>
          <w:color w:val="222222"/>
          <w:sz w:val="22"/>
          <w:szCs w:val="22"/>
          <w:lang w:val="en-CA" w:eastAsia="en-CA"/>
        </w:rPr>
        <w:t xml:space="preserve"> that they have to “work in two worlds” and being confused about what “counts” for purposes of permanence. The emotional and relationship-building labour</w:t>
      </w:r>
      <w:r w:rsidR="00242B87">
        <w:rPr>
          <w:rFonts w:ascii="Calibri" w:eastAsia="Times New Roman" w:hAnsi="Calibri" w:cs="Calibri"/>
          <w:color w:val="222222"/>
          <w:sz w:val="22"/>
          <w:szCs w:val="22"/>
          <w:lang w:val="en-CA" w:eastAsia="en-CA"/>
        </w:rPr>
        <w:t xml:space="preserve"> of clinics </w:t>
      </w:r>
      <w:r>
        <w:rPr>
          <w:rFonts w:ascii="Calibri" w:eastAsia="Times New Roman" w:hAnsi="Calibri" w:cs="Calibri"/>
          <w:color w:val="222222"/>
          <w:sz w:val="22"/>
          <w:szCs w:val="22"/>
          <w:lang w:val="en-CA" w:eastAsia="en-CA"/>
        </w:rPr>
        <w:t>was reported as receiving either no or unclear acknowledgement. One respondent wrote</w:t>
      </w:r>
      <w:r w:rsidRPr="0065125C">
        <w:rPr>
          <w:rFonts w:ascii="Calibri" w:eastAsia="Times New Roman" w:hAnsi="Calibri" w:cs="Calibri"/>
          <w:color w:val="222222"/>
          <w:sz w:val="22"/>
          <w:szCs w:val="22"/>
          <w:lang w:val="en-CA" w:eastAsia="en-CA"/>
        </w:rPr>
        <w:t xml:space="preserve"> </w:t>
      </w:r>
    </w:p>
    <w:p w:rsidR="0065125C" w:rsidRDefault="0065125C" w:rsidP="009266E2">
      <w:pPr>
        <w:spacing w:line="360" w:lineRule="auto"/>
        <w:ind w:left="720"/>
        <w:jc w:val="both"/>
        <w:rPr>
          <w:rFonts w:ascii="Calibri" w:eastAsia="Times New Roman" w:hAnsi="Calibri" w:cs="Calibri"/>
          <w:color w:val="222222"/>
          <w:sz w:val="22"/>
          <w:szCs w:val="22"/>
          <w:lang w:val="en-CA" w:eastAsia="en-CA"/>
        </w:rPr>
      </w:pPr>
    </w:p>
    <w:p w:rsidR="0065125C" w:rsidRPr="0065125C" w:rsidRDefault="0065125C" w:rsidP="009266E2">
      <w:pPr>
        <w:ind w:left="720" w:right="680"/>
        <w:jc w:val="both"/>
        <w:rPr>
          <w:rFonts w:ascii="Calibri" w:eastAsia="Times New Roman" w:hAnsi="Calibri" w:cs="Calibri"/>
          <w:color w:val="222222"/>
          <w:sz w:val="22"/>
          <w:szCs w:val="22"/>
          <w:lang w:val="en-CA" w:eastAsia="en-CA"/>
        </w:rPr>
      </w:pPr>
      <w:r w:rsidRPr="0065125C">
        <w:rPr>
          <w:rFonts w:ascii="Calibri" w:eastAsia="Times New Roman" w:hAnsi="Calibri" w:cs="Calibri"/>
          <w:color w:val="222222"/>
          <w:sz w:val="22"/>
          <w:szCs w:val="22"/>
          <w:lang w:val="en-CA" w:eastAsia="en-CA"/>
        </w:rPr>
        <w:t>our law school’s refusal to acknowledge us as employees, let alone instructors/teachers – and with that, an implicit institutional message to students that the clinic is their playground and we are their editors … or alternatively, opportunistic legal aid employers of unpaid student interns. At best, we are the groundskeeper Hagrid to our Faculty’s Hogwarts – befriended and respected by some students, but officially extraneous within the instituti</w:t>
      </w:r>
      <w:r>
        <w:rPr>
          <w:rFonts w:ascii="Calibri" w:eastAsia="Times New Roman" w:hAnsi="Calibri" w:cs="Calibri"/>
          <w:color w:val="222222"/>
          <w:sz w:val="22"/>
          <w:szCs w:val="22"/>
          <w:lang w:val="en-CA" w:eastAsia="en-CA"/>
        </w:rPr>
        <w:t>on.</w:t>
      </w:r>
    </w:p>
    <w:p w:rsidR="0065125C" w:rsidRDefault="0065125C" w:rsidP="009266E2">
      <w:pPr>
        <w:spacing w:line="360" w:lineRule="auto"/>
        <w:jc w:val="both"/>
        <w:rPr>
          <w:rFonts w:ascii="Calibri" w:eastAsia="Times New Roman" w:hAnsi="Calibri" w:cs="Calibri"/>
          <w:color w:val="000000"/>
          <w:sz w:val="22"/>
          <w:szCs w:val="22"/>
          <w:lang w:val="en-CA"/>
        </w:rPr>
      </w:pPr>
    </w:p>
    <w:p w:rsidR="00880C45" w:rsidRDefault="00843420" w:rsidP="009266E2">
      <w:pPr>
        <w:spacing w:line="360" w:lineRule="auto"/>
        <w:jc w:val="both"/>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lastRenderedPageBreak/>
        <w:t>Respondents reported</w:t>
      </w:r>
      <w:r w:rsidR="0065125C">
        <w:rPr>
          <w:rFonts w:ascii="Calibri" w:eastAsia="Times New Roman" w:hAnsi="Calibri" w:cs="Calibri"/>
          <w:color w:val="000000"/>
          <w:sz w:val="22"/>
          <w:szCs w:val="22"/>
          <w:lang w:val="en-CA"/>
        </w:rPr>
        <w:t xml:space="preserve"> seeking </w:t>
      </w:r>
      <w:r w:rsidR="00880C45" w:rsidRPr="00880C45">
        <w:rPr>
          <w:rFonts w:ascii="Calibri" w:eastAsia="Times New Roman" w:hAnsi="Calibri" w:cs="Calibri"/>
          <w:color w:val="000000"/>
          <w:sz w:val="22"/>
          <w:szCs w:val="22"/>
          <w:lang w:val="en-CA"/>
        </w:rPr>
        <w:t>regularize</w:t>
      </w:r>
      <w:r w:rsidR="0065125C">
        <w:rPr>
          <w:rFonts w:ascii="Calibri" w:eastAsia="Times New Roman" w:hAnsi="Calibri" w:cs="Calibri"/>
          <w:color w:val="000000"/>
          <w:sz w:val="22"/>
          <w:szCs w:val="22"/>
          <w:lang w:val="en-CA"/>
        </w:rPr>
        <w:t xml:space="preserve">d, permanent, secure positions with clear promotion criteria that allowed for more varied pathways to </w:t>
      </w:r>
      <w:r w:rsidR="004902EE">
        <w:rPr>
          <w:rFonts w:ascii="Calibri" w:eastAsia="Times New Roman" w:hAnsi="Calibri" w:cs="Calibri"/>
          <w:color w:val="000000"/>
          <w:sz w:val="22"/>
          <w:szCs w:val="22"/>
          <w:lang w:val="en-CA"/>
        </w:rPr>
        <w:t>achieve permanence</w:t>
      </w:r>
      <w:r w:rsidR="0065125C">
        <w:rPr>
          <w:rFonts w:ascii="Calibri" w:eastAsia="Times New Roman" w:hAnsi="Calibri" w:cs="Calibri"/>
          <w:color w:val="000000"/>
          <w:sz w:val="22"/>
          <w:szCs w:val="22"/>
          <w:lang w:val="en-CA"/>
        </w:rPr>
        <w:t xml:space="preserve">. Respondents also raised concerns about not being included in academic governance. </w:t>
      </w:r>
      <w:r w:rsidR="00242B87">
        <w:rPr>
          <w:rFonts w:ascii="Calibri" w:eastAsia="Times New Roman" w:hAnsi="Calibri" w:cs="Calibri"/>
          <w:color w:val="000000"/>
          <w:sz w:val="22"/>
          <w:szCs w:val="22"/>
          <w:lang w:val="en-CA"/>
        </w:rPr>
        <w:t xml:space="preserve">We do not have statistics on how many clinicians have a vote in their various faculty governance structures, but from the responses it appears the number is low. </w:t>
      </w:r>
    </w:p>
    <w:p w:rsidR="00615236" w:rsidRDefault="00615236" w:rsidP="009266E2">
      <w:pPr>
        <w:spacing w:line="360" w:lineRule="auto"/>
        <w:jc w:val="both"/>
        <w:rPr>
          <w:rFonts w:ascii="Calibri" w:eastAsia="Times New Roman" w:hAnsi="Calibri" w:cs="Calibri"/>
          <w:color w:val="000000"/>
          <w:sz w:val="22"/>
          <w:szCs w:val="22"/>
          <w:lang w:val="en-CA"/>
        </w:rPr>
      </w:pPr>
    </w:p>
    <w:p w:rsidR="00615236" w:rsidRPr="00880C45" w:rsidRDefault="00615236" w:rsidP="009266E2">
      <w:pPr>
        <w:spacing w:line="360" w:lineRule="auto"/>
        <w:jc w:val="both"/>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t>Tensions also were apparent in that clinicians have multiple people, institutions and communities to which they “report” either formally or informally. This means that they often feel pulled in many directions. One respondent described having tasks as a clinician/ lawyer, an academic, and clinic director which are extremely difficult to balance.</w:t>
      </w:r>
    </w:p>
    <w:p w:rsidR="00880C45" w:rsidRPr="00880C45" w:rsidRDefault="00880C45" w:rsidP="009266E2">
      <w:pPr>
        <w:spacing w:line="360" w:lineRule="auto"/>
        <w:jc w:val="both"/>
        <w:rPr>
          <w:rFonts w:ascii="Calibri" w:eastAsia="Times New Roman" w:hAnsi="Calibri" w:cs="Calibri"/>
          <w:color w:val="000000"/>
          <w:lang w:val="en-CA"/>
        </w:rPr>
      </w:pPr>
      <w:r w:rsidRPr="00880C45">
        <w:rPr>
          <w:rFonts w:ascii="Calibri" w:eastAsia="Times New Roman" w:hAnsi="Calibri" w:cs="Calibri"/>
          <w:b/>
          <w:bCs/>
          <w:color w:val="000000"/>
          <w:sz w:val="22"/>
          <w:szCs w:val="22"/>
          <w:lang w:val="en-CA"/>
        </w:rPr>
        <w:t> </w:t>
      </w:r>
    </w:p>
    <w:p w:rsidR="00880C45" w:rsidRPr="00880C45" w:rsidRDefault="00615236" w:rsidP="009266E2">
      <w:pPr>
        <w:spacing w:line="360" w:lineRule="auto"/>
        <w:jc w:val="both"/>
        <w:rPr>
          <w:rFonts w:ascii="Calibri" w:eastAsia="Times New Roman" w:hAnsi="Calibri" w:cs="Calibri"/>
          <w:color w:val="000000"/>
          <w:lang w:val="en-CA"/>
        </w:rPr>
      </w:pPr>
      <w:r>
        <w:rPr>
          <w:rFonts w:ascii="Calibri" w:eastAsia="Times New Roman" w:hAnsi="Calibri" w:cs="Calibri"/>
          <w:b/>
          <w:bCs/>
          <w:color w:val="000000"/>
          <w:sz w:val="22"/>
          <w:szCs w:val="22"/>
          <w:lang w:val="en-CA"/>
        </w:rPr>
        <w:t xml:space="preserve">Theme 2: </w:t>
      </w:r>
      <w:r w:rsidR="00880C45" w:rsidRPr="00880C45">
        <w:rPr>
          <w:rFonts w:ascii="Calibri" w:eastAsia="Times New Roman" w:hAnsi="Calibri" w:cs="Calibri"/>
          <w:b/>
          <w:bCs/>
          <w:color w:val="000000"/>
          <w:sz w:val="22"/>
          <w:szCs w:val="22"/>
          <w:lang w:val="en-CA"/>
        </w:rPr>
        <w:t>Operational concerns</w:t>
      </w:r>
    </w:p>
    <w:p w:rsidR="0065125C" w:rsidRDefault="00880C45" w:rsidP="009266E2">
      <w:pPr>
        <w:spacing w:line="360" w:lineRule="auto"/>
        <w:jc w:val="both"/>
        <w:rPr>
          <w:rFonts w:ascii="Calibri" w:eastAsia="Times New Roman" w:hAnsi="Calibri" w:cs="Calibri"/>
          <w:color w:val="000000"/>
          <w:lang w:val="en-CA"/>
        </w:rPr>
      </w:pPr>
      <w:r w:rsidRPr="00880C45">
        <w:rPr>
          <w:rFonts w:ascii="Calibri" w:eastAsia="Times New Roman" w:hAnsi="Calibri" w:cs="Calibri"/>
          <w:color w:val="000000"/>
          <w:sz w:val="22"/>
          <w:szCs w:val="22"/>
          <w:lang w:val="en-CA"/>
        </w:rPr>
        <w:t> </w:t>
      </w:r>
    </w:p>
    <w:p w:rsidR="0065125C" w:rsidRDefault="0065125C" w:rsidP="009266E2">
      <w:pPr>
        <w:spacing w:line="360" w:lineRule="auto"/>
        <w:jc w:val="both"/>
        <w:rPr>
          <w:rFonts w:ascii="Calibri" w:eastAsia="Times New Roman" w:hAnsi="Calibri" w:cs="Calibri"/>
          <w:color w:val="222222"/>
          <w:sz w:val="22"/>
          <w:szCs w:val="22"/>
          <w:lang w:val="en-CA" w:eastAsia="en-CA"/>
        </w:rPr>
      </w:pPr>
      <w:r w:rsidRPr="0065125C">
        <w:rPr>
          <w:rFonts w:ascii="Calibri" w:eastAsia="Times New Roman" w:hAnsi="Calibri" w:cs="Calibri"/>
          <w:color w:val="222222"/>
          <w:sz w:val="22"/>
          <w:szCs w:val="22"/>
          <w:lang w:val="en-CA" w:eastAsia="en-CA"/>
        </w:rPr>
        <w:t>Funding was also raise</w:t>
      </w:r>
      <w:r w:rsidR="004902EE">
        <w:rPr>
          <w:rFonts w:ascii="Calibri" w:eastAsia="Times New Roman" w:hAnsi="Calibri" w:cs="Calibri"/>
          <w:color w:val="222222"/>
          <w:sz w:val="22"/>
          <w:szCs w:val="22"/>
          <w:lang w:val="en-CA" w:eastAsia="en-CA"/>
        </w:rPr>
        <w:t>d as a significant issue for many</w:t>
      </w:r>
      <w:r w:rsidRPr="0065125C">
        <w:rPr>
          <w:rFonts w:ascii="Calibri" w:eastAsia="Times New Roman" w:hAnsi="Calibri" w:cs="Calibri"/>
          <w:color w:val="222222"/>
          <w:sz w:val="22"/>
          <w:szCs w:val="22"/>
          <w:lang w:val="en-CA" w:eastAsia="en-CA"/>
        </w:rPr>
        <w:t xml:space="preserve"> respondents. </w:t>
      </w:r>
      <w:r w:rsidR="00615236">
        <w:rPr>
          <w:rFonts w:ascii="Calibri" w:eastAsia="Times New Roman" w:hAnsi="Calibri" w:cs="Calibri"/>
          <w:color w:val="222222"/>
          <w:sz w:val="22"/>
          <w:szCs w:val="22"/>
          <w:lang w:val="en-CA" w:eastAsia="en-CA"/>
        </w:rPr>
        <w:t xml:space="preserve">Of course, funding impacts the issues raised in Theme 1: Working conditions and status of clinicians. </w:t>
      </w:r>
      <w:r w:rsidRPr="0065125C">
        <w:rPr>
          <w:rFonts w:ascii="Calibri" w:eastAsia="Times New Roman" w:hAnsi="Calibri" w:cs="Calibri"/>
          <w:color w:val="222222"/>
          <w:sz w:val="22"/>
          <w:szCs w:val="22"/>
          <w:lang w:val="en-CA" w:eastAsia="en-CA"/>
        </w:rPr>
        <w:t>Some reported that they had no stable funding which cause</w:t>
      </w:r>
      <w:r w:rsidR="00242B87">
        <w:rPr>
          <w:rFonts w:ascii="Calibri" w:eastAsia="Times New Roman" w:hAnsi="Calibri" w:cs="Calibri"/>
          <w:color w:val="222222"/>
          <w:sz w:val="22"/>
          <w:szCs w:val="22"/>
          <w:lang w:val="en-CA" w:eastAsia="en-CA"/>
        </w:rPr>
        <w:t>s</w:t>
      </w:r>
      <w:r w:rsidRPr="0065125C">
        <w:rPr>
          <w:rFonts w:ascii="Calibri" w:eastAsia="Times New Roman" w:hAnsi="Calibri" w:cs="Calibri"/>
          <w:color w:val="222222"/>
          <w:sz w:val="22"/>
          <w:szCs w:val="22"/>
          <w:lang w:val="en-CA" w:eastAsia="en-CA"/>
        </w:rPr>
        <w:t xml:space="preserve"> many issues including</w:t>
      </w:r>
      <w:r>
        <w:rPr>
          <w:rFonts w:ascii="Calibri" w:eastAsia="Times New Roman" w:hAnsi="Calibri" w:cs="Calibri"/>
          <w:color w:val="222222"/>
          <w:sz w:val="22"/>
          <w:szCs w:val="22"/>
          <w:lang w:val="en-CA" w:eastAsia="en-CA"/>
        </w:rPr>
        <w:t xml:space="preserve"> </w:t>
      </w:r>
      <w:r w:rsidRPr="0065125C">
        <w:rPr>
          <w:rFonts w:ascii="Calibri" w:eastAsia="Times New Roman" w:hAnsi="Calibri" w:cs="Calibri"/>
          <w:color w:val="222222"/>
          <w:sz w:val="22"/>
          <w:szCs w:val="22"/>
          <w:lang w:val="en-CA" w:eastAsia="en-CA"/>
        </w:rPr>
        <w:t>“problematic job security (with constant anxiety about whether external funding will continue, given the Faculty’s unclear commitment in the absence of that funding)”</w:t>
      </w:r>
      <w:r>
        <w:rPr>
          <w:rFonts w:ascii="Calibri" w:eastAsia="Times New Roman" w:hAnsi="Calibri" w:cs="Calibri"/>
          <w:color w:val="222222"/>
          <w:sz w:val="22"/>
          <w:szCs w:val="22"/>
          <w:lang w:val="en-CA" w:eastAsia="en-CA"/>
        </w:rPr>
        <w:t>.</w:t>
      </w:r>
      <w:r w:rsidR="004902EE">
        <w:rPr>
          <w:rFonts w:ascii="Calibri" w:eastAsia="Times New Roman" w:hAnsi="Calibri" w:cs="Calibri"/>
          <w:color w:val="222222"/>
          <w:sz w:val="22"/>
          <w:szCs w:val="22"/>
          <w:lang w:val="en-CA" w:eastAsia="en-CA"/>
        </w:rPr>
        <w:t xml:space="preserve"> Lack of supervisors and </w:t>
      </w:r>
      <w:r w:rsidR="00615236">
        <w:rPr>
          <w:rFonts w:ascii="Calibri" w:eastAsia="Times New Roman" w:hAnsi="Calibri" w:cs="Calibri"/>
          <w:color w:val="222222"/>
          <w:sz w:val="22"/>
          <w:szCs w:val="22"/>
          <w:lang w:val="en-CA" w:eastAsia="en-CA"/>
        </w:rPr>
        <w:t xml:space="preserve">inadequate space were </w:t>
      </w:r>
      <w:r w:rsidR="004902EE">
        <w:rPr>
          <w:rFonts w:ascii="Calibri" w:eastAsia="Times New Roman" w:hAnsi="Calibri" w:cs="Calibri"/>
          <w:color w:val="222222"/>
          <w:sz w:val="22"/>
          <w:szCs w:val="22"/>
          <w:lang w:val="en-CA" w:eastAsia="en-CA"/>
        </w:rPr>
        <w:t xml:space="preserve">additional concerns raised. </w:t>
      </w:r>
    </w:p>
    <w:p w:rsidR="004902EE" w:rsidRDefault="004902EE" w:rsidP="009266E2">
      <w:pPr>
        <w:spacing w:line="360" w:lineRule="auto"/>
        <w:jc w:val="both"/>
        <w:rPr>
          <w:rFonts w:ascii="Calibri" w:eastAsia="Times New Roman" w:hAnsi="Calibri" w:cs="Calibri"/>
          <w:color w:val="222222"/>
          <w:sz w:val="22"/>
          <w:szCs w:val="22"/>
          <w:lang w:val="en-CA" w:eastAsia="en-CA"/>
        </w:rPr>
      </w:pPr>
    </w:p>
    <w:p w:rsidR="00843420" w:rsidRPr="009266E2" w:rsidRDefault="004902EE" w:rsidP="009266E2">
      <w:pPr>
        <w:spacing w:line="360" w:lineRule="auto"/>
        <w:jc w:val="both"/>
        <w:rPr>
          <w:rFonts w:ascii="Calibri" w:eastAsia="Times New Roman" w:hAnsi="Calibri" w:cs="Calibri"/>
          <w:color w:val="000000"/>
          <w:lang w:val="en-CA"/>
        </w:rPr>
      </w:pPr>
      <w:r>
        <w:rPr>
          <w:rFonts w:ascii="Calibri" w:eastAsia="Times New Roman" w:hAnsi="Calibri" w:cs="Calibri"/>
          <w:color w:val="222222"/>
          <w:sz w:val="22"/>
          <w:szCs w:val="22"/>
          <w:lang w:val="en-CA" w:eastAsia="en-CA"/>
        </w:rPr>
        <w:t xml:space="preserve">Another set of concerns raised focused on restrictions on student practice </w:t>
      </w:r>
      <w:r w:rsidR="00615236">
        <w:rPr>
          <w:rFonts w:ascii="Calibri" w:eastAsia="Times New Roman" w:hAnsi="Calibri" w:cs="Calibri"/>
          <w:color w:val="222222"/>
          <w:sz w:val="22"/>
          <w:szCs w:val="22"/>
          <w:lang w:val="en-CA" w:eastAsia="en-CA"/>
        </w:rPr>
        <w:t xml:space="preserve">rules. </w:t>
      </w:r>
      <w:r>
        <w:rPr>
          <w:rFonts w:ascii="Calibri" w:eastAsia="Times New Roman" w:hAnsi="Calibri" w:cs="Calibri"/>
          <w:color w:val="222222"/>
          <w:sz w:val="22"/>
          <w:szCs w:val="22"/>
          <w:lang w:val="en-CA" w:eastAsia="en-CA"/>
        </w:rPr>
        <w:t xml:space="preserve">Students are barred from practicing in certain jurisdictions, and a few respondents recommended communication with Law Societies about this concern. </w:t>
      </w:r>
    </w:p>
    <w:p w:rsidR="00843420" w:rsidRPr="00880C45" w:rsidRDefault="00843420" w:rsidP="009266E2">
      <w:pPr>
        <w:spacing w:line="360" w:lineRule="auto"/>
        <w:jc w:val="both"/>
        <w:rPr>
          <w:rFonts w:ascii="Calibri" w:eastAsia="Times New Roman" w:hAnsi="Calibri" w:cs="Calibri"/>
          <w:color w:val="000000"/>
          <w:lang w:val="en-CA"/>
        </w:rPr>
      </w:pPr>
    </w:p>
    <w:p w:rsidR="00880C45" w:rsidRPr="00880C45" w:rsidRDefault="00615236" w:rsidP="009266E2">
      <w:pPr>
        <w:spacing w:line="360" w:lineRule="auto"/>
        <w:jc w:val="both"/>
        <w:rPr>
          <w:rFonts w:ascii="Calibri" w:eastAsia="Times New Roman" w:hAnsi="Calibri" w:cs="Calibri"/>
          <w:color w:val="000000"/>
          <w:lang w:val="en-CA"/>
        </w:rPr>
      </w:pPr>
      <w:r>
        <w:rPr>
          <w:rFonts w:ascii="Calibri" w:eastAsia="Times New Roman" w:hAnsi="Calibri" w:cs="Calibri"/>
          <w:b/>
          <w:bCs/>
          <w:color w:val="000000"/>
          <w:sz w:val="22"/>
          <w:szCs w:val="22"/>
          <w:lang w:val="en-CA"/>
        </w:rPr>
        <w:t xml:space="preserve">Theme 3: </w:t>
      </w:r>
      <w:r w:rsidR="00880C45" w:rsidRPr="00880C45">
        <w:rPr>
          <w:rFonts w:ascii="Calibri" w:eastAsia="Times New Roman" w:hAnsi="Calibri" w:cs="Calibri"/>
          <w:b/>
          <w:bCs/>
          <w:color w:val="000000"/>
          <w:sz w:val="22"/>
          <w:szCs w:val="22"/>
          <w:lang w:val="en-CA"/>
        </w:rPr>
        <w:t>Pedagogical and instructional support</w:t>
      </w:r>
    </w:p>
    <w:p w:rsidR="00880C45" w:rsidRPr="00880C45" w:rsidRDefault="00880C45" w:rsidP="009266E2">
      <w:pPr>
        <w:spacing w:line="360" w:lineRule="auto"/>
        <w:ind w:left="720"/>
        <w:jc w:val="both"/>
        <w:rPr>
          <w:rFonts w:ascii="Calibri" w:eastAsia="Times New Roman" w:hAnsi="Calibri" w:cs="Calibri"/>
          <w:color w:val="000000"/>
          <w:lang w:val="en-CA"/>
        </w:rPr>
      </w:pPr>
      <w:r w:rsidRPr="00880C45">
        <w:rPr>
          <w:rFonts w:ascii="Calibri" w:eastAsia="Times New Roman" w:hAnsi="Calibri" w:cs="Calibri"/>
          <w:b/>
          <w:bCs/>
          <w:color w:val="000000"/>
          <w:sz w:val="22"/>
          <w:szCs w:val="22"/>
          <w:lang w:val="en-CA"/>
        </w:rPr>
        <w:t> </w:t>
      </w:r>
    </w:p>
    <w:p w:rsidR="00880C45" w:rsidRDefault="004902EE" w:rsidP="009266E2">
      <w:pPr>
        <w:spacing w:line="360" w:lineRule="auto"/>
        <w:jc w:val="both"/>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t>Respondents also raised concerns about balancing their duties in representing clients and their pedagogical duties to students. For some, these were occasionally at odds and</w:t>
      </w:r>
      <w:r w:rsidR="00615236">
        <w:rPr>
          <w:rFonts w:ascii="Calibri" w:eastAsia="Times New Roman" w:hAnsi="Calibri" w:cs="Calibri"/>
          <w:color w:val="000000"/>
          <w:sz w:val="22"/>
          <w:szCs w:val="22"/>
          <w:lang w:val="en-CA"/>
        </w:rPr>
        <w:t>, thus,</w:t>
      </w:r>
      <w:r>
        <w:rPr>
          <w:rFonts w:ascii="Calibri" w:eastAsia="Times New Roman" w:hAnsi="Calibri" w:cs="Calibri"/>
          <w:color w:val="000000"/>
          <w:sz w:val="22"/>
          <w:szCs w:val="22"/>
          <w:lang w:val="en-CA"/>
        </w:rPr>
        <w:t xml:space="preserve"> raised ethical challenges. Several respondents expressed difficulty in developing meaningful curricula for clinics. Still others recommended creating a shared resource model for </w:t>
      </w:r>
      <w:r w:rsidR="00880C45" w:rsidRPr="00880C45">
        <w:rPr>
          <w:rFonts w:ascii="Calibri" w:eastAsia="Times New Roman" w:hAnsi="Calibri" w:cs="Calibri"/>
          <w:color w:val="000000"/>
          <w:sz w:val="22"/>
          <w:szCs w:val="22"/>
          <w:lang w:val="en-CA"/>
        </w:rPr>
        <w:t>clinics in Canada</w:t>
      </w:r>
      <w:r>
        <w:rPr>
          <w:rFonts w:ascii="Calibri" w:eastAsia="Times New Roman" w:hAnsi="Calibri" w:cs="Calibri"/>
          <w:color w:val="000000"/>
          <w:sz w:val="22"/>
          <w:szCs w:val="22"/>
          <w:lang w:val="en-CA"/>
        </w:rPr>
        <w:t>. This listserv/ resource sharing service could include curriculum supports (including rubrics and evaluation tools), but also program information about clinics, updates, legal information and other supports. Relatedly, respondents sought materials that students could use</w:t>
      </w:r>
      <w:r w:rsidR="00615236">
        <w:rPr>
          <w:rFonts w:ascii="Calibri" w:eastAsia="Times New Roman" w:hAnsi="Calibri" w:cs="Calibri"/>
          <w:color w:val="000000"/>
          <w:sz w:val="22"/>
          <w:szCs w:val="22"/>
          <w:lang w:val="en-CA"/>
        </w:rPr>
        <w:t xml:space="preserve"> during their clinical placements</w:t>
      </w:r>
      <w:r>
        <w:rPr>
          <w:rFonts w:ascii="Calibri" w:eastAsia="Times New Roman" w:hAnsi="Calibri" w:cs="Calibri"/>
          <w:color w:val="000000"/>
          <w:sz w:val="22"/>
          <w:szCs w:val="22"/>
          <w:lang w:val="en-CA"/>
        </w:rPr>
        <w:t xml:space="preserve">. Respondents also wanted to be connected to their colleagues across the country to reduce isolation. </w:t>
      </w:r>
    </w:p>
    <w:p w:rsidR="004902EE" w:rsidRDefault="004902EE" w:rsidP="009266E2">
      <w:pPr>
        <w:spacing w:line="360" w:lineRule="auto"/>
        <w:jc w:val="both"/>
        <w:rPr>
          <w:rFonts w:ascii="Calibri" w:eastAsia="Times New Roman" w:hAnsi="Calibri" w:cs="Calibri"/>
          <w:color w:val="000000"/>
          <w:sz w:val="22"/>
          <w:szCs w:val="22"/>
          <w:lang w:val="en-CA"/>
        </w:rPr>
      </w:pPr>
    </w:p>
    <w:p w:rsidR="004902EE" w:rsidRPr="004902EE" w:rsidRDefault="004902EE" w:rsidP="009266E2">
      <w:pPr>
        <w:spacing w:line="360" w:lineRule="auto"/>
        <w:jc w:val="both"/>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t xml:space="preserve">Respondents also reported that these tensions made it difficult to find enough time to give meaningful pedagogical supports to students. </w:t>
      </w:r>
    </w:p>
    <w:p w:rsidR="004902EE" w:rsidRDefault="004902EE" w:rsidP="009266E2">
      <w:pPr>
        <w:spacing w:line="360" w:lineRule="auto"/>
        <w:jc w:val="both"/>
        <w:rPr>
          <w:rFonts w:ascii="Calibri" w:eastAsia="Times New Roman" w:hAnsi="Calibri" w:cs="Calibri"/>
          <w:b/>
          <w:bCs/>
          <w:color w:val="000000"/>
          <w:sz w:val="22"/>
          <w:szCs w:val="22"/>
          <w:lang w:val="en-CA"/>
        </w:rPr>
      </w:pPr>
    </w:p>
    <w:p w:rsidR="004902EE" w:rsidRDefault="004902EE" w:rsidP="009266E2">
      <w:pPr>
        <w:spacing w:line="360" w:lineRule="auto"/>
        <w:jc w:val="both"/>
        <w:rPr>
          <w:rFonts w:ascii="Calibri" w:eastAsia="Times New Roman" w:hAnsi="Calibri" w:cs="Calibri"/>
          <w:b/>
          <w:bCs/>
          <w:color w:val="000000"/>
          <w:sz w:val="22"/>
          <w:szCs w:val="22"/>
          <w:lang w:val="en-CA"/>
        </w:rPr>
      </w:pPr>
      <w:r>
        <w:rPr>
          <w:rFonts w:ascii="Calibri" w:eastAsia="Times New Roman" w:hAnsi="Calibri" w:cs="Calibri"/>
          <w:b/>
          <w:bCs/>
          <w:color w:val="000000"/>
          <w:sz w:val="22"/>
          <w:szCs w:val="22"/>
          <w:lang w:val="en-CA"/>
        </w:rPr>
        <w:t>Analysis and Pathways Forward</w:t>
      </w:r>
    </w:p>
    <w:p w:rsidR="004902EE" w:rsidRDefault="004902EE" w:rsidP="009266E2">
      <w:pPr>
        <w:spacing w:line="360" w:lineRule="auto"/>
        <w:jc w:val="both"/>
        <w:rPr>
          <w:rFonts w:ascii="Calibri" w:eastAsia="Times New Roman" w:hAnsi="Calibri" w:cs="Calibri"/>
          <w:b/>
          <w:bCs/>
          <w:color w:val="000000"/>
          <w:sz w:val="22"/>
          <w:szCs w:val="22"/>
          <w:lang w:val="en-CA"/>
        </w:rPr>
      </w:pPr>
    </w:p>
    <w:p w:rsidR="004902EE" w:rsidRDefault="004902EE" w:rsidP="009266E2">
      <w:pPr>
        <w:spacing w:line="360" w:lineRule="auto"/>
        <w:jc w:val="both"/>
        <w:rPr>
          <w:rFonts w:ascii="Calibri" w:eastAsia="Times New Roman" w:hAnsi="Calibri" w:cs="Calibri"/>
          <w:bCs/>
          <w:color w:val="000000"/>
          <w:sz w:val="22"/>
          <w:szCs w:val="22"/>
          <w:lang w:val="en-CA"/>
        </w:rPr>
      </w:pPr>
      <w:r>
        <w:rPr>
          <w:rFonts w:ascii="Calibri" w:eastAsia="Times New Roman" w:hAnsi="Calibri" w:cs="Calibri"/>
          <w:bCs/>
          <w:color w:val="000000"/>
          <w:sz w:val="22"/>
          <w:szCs w:val="22"/>
          <w:lang w:val="en-CA"/>
        </w:rPr>
        <w:t xml:space="preserve">ACCLE’s Policy Committee discussed these results and created the following possible pathways forward. We seek feedback on both the data we collected and possible ways we can proceed as an organisation. </w:t>
      </w:r>
    </w:p>
    <w:p w:rsidR="004902EE" w:rsidRDefault="004902EE" w:rsidP="009266E2">
      <w:pPr>
        <w:spacing w:line="360" w:lineRule="auto"/>
        <w:jc w:val="both"/>
        <w:rPr>
          <w:rFonts w:ascii="Calibri" w:eastAsia="Times New Roman" w:hAnsi="Calibri" w:cs="Calibri"/>
          <w:bCs/>
          <w:color w:val="000000"/>
          <w:sz w:val="22"/>
          <w:szCs w:val="22"/>
          <w:lang w:val="en-CA"/>
        </w:rPr>
      </w:pPr>
    </w:p>
    <w:p w:rsidR="004902EE" w:rsidRDefault="004902EE" w:rsidP="009266E2">
      <w:pPr>
        <w:pStyle w:val="ListParagraph"/>
        <w:numPr>
          <w:ilvl w:val="0"/>
          <w:numId w:val="13"/>
        </w:numPr>
        <w:spacing w:line="360" w:lineRule="auto"/>
        <w:jc w:val="both"/>
        <w:rPr>
          <w:rFonts w:ascii="Calibri" w:eastAsia="Times New Roman" w:hAnsi="Calibri" w:cs="Calibri"/>
          <w:bCs/>
          <w:color w:val="000000"/>
          <w:sz w:val="22"/>
          <w:szCs w:val="22"/>
          <w:lang w:val="en-CA"/>
        </w:rPr>
      </w:pPr>
      <w:r>
        <w:rPr>
          <w:rFonts w:ascii="Calibri" w:eastAsia="Times New Roman" w:hAnsi="Calibri" w:cs="Calibri"/>
          <w:bCs/>
          <w:color w:val="000000"/>
          <w:sz w:val="22"/>
          <w:szCs w:val="22"/>
          <w:lang w:val="en-CA"/>
        </w:rPr>
        <w:t>Data collection</w:t>
      </w:r>
    </w:p>
    <w:p w:rsidR="00FF7B81" w:rsidRDefault="004902EE" w:rsidP="009266E2">
      <w:pPr>
        <w:pStyle w:val="ListParagraph"/>
        <w:spacing w:line="360" w:lineRule="auto"/>
        <w:jc w:val="both"/>
        <w:rPr>
          <w:rFonts w:ascii="Calibri" w:eastAsia="Times New Roman" w:hAnsi="Calibri" w:cs="Calibri"/>
          <w:color w:val="000000"/>
          <w:sz w:val="22"/>
          <w:szCs w:val="22"/>
          <w:lang w:val="en-CA"/>
        </w:rPr>
      </w:pPr>
      <w:r>
        <w:rPr>
          <w:rFonts w:ascii="Calibri" w:eastAsia="Times New Roman" w:hAnsi="Calibri" w:cs="Calibri"/>
          <w:bCs/>
          <w:color w:val="000000"/>
          <w:sz w:val="22"/>
          <w:szCs w:val="22"/>
          <w:lang w:val="en-CA"/>
        </w:rPr>
        <w:t xml:space="preserve">The Committee discussed the possibility of </w:t>
      </w:r>
      <w:r w:rsidR="0065125C" w:rsidRPr="00880C45">
        <w:rPr>
          <w:rFonts w:ascii="Calibri" w:eastAsia="Times New Roman" w:hAnsi="Calibri" w:cs="Calibri"/>
          <w:color w:val="000000"/>
          <w:sz w:val="22"/>
          <w:szCs w:val="22"/>
          <w:lang w:val="en-CA"/>
        </w:rPr>
        <w:t>developing more ‘hard data’ on working conditions and status issues (</w:t>
      </w:r>
      <w:r>
        <w:rPr>
          <w:rFonts w:ascii="Calibri" w:eastAsia="Times New Roman" w:hAnsi="Calibri" w:cs="Calibri"/>
          <w:color w:val="000000"/>
          <w:sz w:val="22"/>
          <w:szCs w:val="22"/>
          <w:lang w:val="en-CA"/>
        </w:rPr>
        <w:t xml:space="preserve">including </w:t>
      </w:r>
      <w:r w:rsidR="0065125C" w:rsidRPr="00880C45">
        <w:rPr>
          <w:rFonts w:ascii="Calibri" w:eastAsia="Times New Roman" w:hAnsi="Calibri" w:cs="Calibri"/>
          <w:color w:val="000000"/>
          <w:sz w:val="22"/>
          <w:szCs w:val="22"/>
          <w:lang w:val="en-CA"/>
        </w:rPr>
        <w:t xml:space="preserve">pay, </w:t>
      </w:r>
      <w:r w:rsidR="00FF7B81">
        <w:rPr>
          <w:rFonts w:ascii="Calibri" w:eastAsia="Times New Roman" w:hAnsi="Calibri" w:cs="Calibri"/>
          <w:color w:val="000000"/>
          <w:sz w:val="22"/>
          <w:szCs w:val="22"/>
          <w:lang w:val="en-CA"/>
        </w:rPr>
        <w:t xml:space="preserve">status, </w:t>
      </w:r>
      <w:r w:rsidR="0065125C" w:rsidRPr="00880C45">
        <w:rPr>
          <w:rFonts w:ascii="Calibri" w:eastAsia="Times New Roman" w:hAnsi="Calibri" w:cs="Calibri"/>
          <w:color w:val="000000"/>
          <w:sz w:val="22"/>
          <w:szCs w:val="22"/>
          <w:lang w:val="en-CA"/>
        </w:rPr>
        <w:t xml:space="preserve">relationship to </w:t>
      </w:r>
      <w:r w:rsidR="00FF7B81">
        <w:rPr>
          <w:rFonts w:ascii="Calibri" w:eastAsia="Times New Roman" w:hAnsi="Calibri" w:cs="Calibri"/>
          <w:color w:val="000000"/>
          <w:sz w:val="22"/>
          <w:szCs w:val="22"/>
          <w:lang w:val="en-CA"/>
        </w:rPr>
        <w:t>the university/ funder, etc.). This data could support advocacy both at the individual and collective level. We noted the importance of data collected by the Centre for Applied Legal Education (CSALE) in creating shared standards across American schools.</w:t>
      </w:r>
    </w:p>
    <w:p w:rsidR="00FF7B81" w:rsidRDefault="00FF7B81" w:rsidP="009266E2">
      <w:pPr>
        <w:spacing w:line="360" w:lineRule="auto"/>
        <w:jc w:val="both"/>
        <w:rPr>
          <w:rFonts w:ascii="Calibri" w:eastAsia="Times New Roman" w:hAnsi="Calibri" w:cs="Calibri"/>
          <w:color w:val="000000"/>
          <w:sz w:val="22"/>
          <w:szCs w:val="22"/>
          <w:lang w:val="en-CA"/>
        </w:rPr>
      </w:pPr>
    </w:p>
    <w:p w:rsidR="00FF7B81" w:rsidRDefault="00FF7B81" w:rsidP="009266E2">
      <w:pPr>
        <w:pStyle w:val="ListParagraph"/>
        <w:numPr>
          <w:ilvl w:val="0"/>
          <w:numId w:val="13"/>
        </w:numPr>
        <w:spacing w:line="360" w:lineRule="auto"/>
        <w:jc w:val="both"/>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t>Developing and advocating for models for clinical/ experiential integration and recognition</w:t>
      </w:r>
    </w:p>
    <w:p w:rsidR="00FF7B81" w:rsidRDefault="00FF7B81" w:rsidP="009266E2">
      <w:pPr>
        <w:pStyle w:val="ListParagraph"/>
        <w:numPr>
          <w:ilvl w:val="1"/>
          <w:numId w:val="13"/>
        </w:numPr>
        <w:spacing w:line="360" w:lineRule="auto"/>
        <w:jc w:val="both"/>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t xml:space="preserve">Recognition </w:t>
      </w:r>
      <w:r w:rsidR="00242B87">
        <w:rPr>
          <w:rFonts w:ascii="Calibri" w:eastAsia="Times New Roman" w:hAnsi="Calibri" w:cs="Calibri"/>
          <w:color w:val="000000"/>
          <w:sz w:val="22"/>
          <w:szCs w:val="22"/>
          <w:lang w:val="en-CA"/>
        </w:rPr>
        <w:t>of Clinical W</w:t>
      </w:r>
      <w:r>
        <w:rPr>
          <w:rFonts w:ascii="Calibri" w:eastAsia="Times New Roman" w:hAnsi="Calibri" w:cs="Calibri"/>
          <w:color w:val="000000"/>
          <w:sz w:val="22"/>
          <w:szCs w:val="22"/>
          <w:lang w:val="en-CA"/>
        </w:rPr>
        <w:t>ork/ Employment issues</w:t>
      </w:r>
    </w:p>
    <w:p w:rsidR="00FF7B81" w:rsidRPr="00FF7B81" w:rsidRDefault="00FF7B81" w:rsidP="009266E2">
      <w:pPr>
        <w:pStyle w:val="ListParagraph"/>
        <w:spacing w:line="360" w:lineRule="auto"/>
        <w:ind w:left="1440"/>
        <w:jc w:val="both"/>
        <w:rPr>
          <w:sz w:val="22"/>
          <w:szCs w:val="22"/>
          <w:lang w:val="en-CA"/>
        </w:rPr>
      </w:pPr>
      <w:r>
        <w:rPr>
          <w:rFonts w:ascii="Calibri" w:eastAsia="Times New Roman" w:hAnsi="Calibri" w:cs="Calibri"/>
          <w:color w:val="000000"/>
          <w:sz w:val="22"/>
          <w:szCs w:val="22"/>
          <w:lang w:val="en-CA"/>
        </w:rPr>
        <w:t xml:space="preserve">It was clear that a major concern for respondents was their unequal status especially vis-à-vis other faculty members. </w:t>
      </w:r>
      <w:r>
        <w:rPr>
          <w:sz w:val="22"/>
          <w:szCs w:val="22"/>
          <w:lang w:val="en-CA"/>
        </w:rPr>
        <w:t>Thus, ACCLE’s work might be around raising the profile of clinical legal education as a method of teaching and research. In doing so, w</w:t>
      </w:r>
      <w:r>
        <w:rPr>
          <w:rFonts w:ascii="Calibri" w:eastAsia="Times New Roman" w:hAnsi="Calibri" w:cs="Calibri"/>
          <w:color w:val="000000"/>
          <w:sz w:val="22"/>
          <w:szCs w:val="22"/>
          <w:lang w:val="en-CA"/>
        </w:rPr>
        <w:t>e might look</w:t>
      </w:r>
      <w:r w:rsidRPr="00FF7B81">
        <w:rPr>
          <w:rFonts w:ascii="Calibri" w:eastAsia="Times New Roman" w:hAnsi="Calibri" w:cs="Calibri"/>
          <w:color w:val="000000"/>
          <w:sz w:val="22"/>
          <w:szCs w:val="22"/>
          <w:lang w:val="en-CA"/>
        </w:rPr>
        <w:t xml:space="preserve"> to other models in law schools, but also to other disciplines such as Medicine, Nursing, Social Work, and others as possible models. One survey respondent noted interest in the “…</w:t>
      </w:r>
      <w:r w:rsidR="00DD4357" w:rsidRPr="00FF7B81">
        <w:rPr>
          <w:sz w:val="22"/>
          <w:szCs w:val="22"/>
          <w:lang w:val="en-CA"/>
        </w:rPr>
        <w:t>American Bar Association (accreditation) Standard 405. Lawyers who teach … should be given what our US counterparts have had for decades: tenure, clinical professorships, protected research/writing time, and participation in law school governance as Faculty members.”</w:t>
      </w:r>
      <w:r w:rsidRPr="00FF7B81">
        <w:rPr>
          <w:sz w:val="22"/>
          <w:szCs w:val="22"/>
          <w:lang w:val="en-CA"/>
        </w:rPr>
        <w:t xml:space="preserve"> This model and others are worthy of further investigation in a Canadian context. </w:t>
      </w:r>
      <w:r>
        <w:rPr>
          <w:sz w:val="22"/>
          <w:szCs w:val="22"/>
          <w:lang w:val="en-CA"/>
        </w:rPr>
        <w:t xml:space="preserve">One respondent noted, </w:t>
      </w:r>
      <w:r w:rsidRPr="00FF7B81">
        <w:rPr>
          <w:sz w:val="22"/>
          <w:szCs w:val="22"/>
          <w:lang w:val="en-CA"/>
        </w:rPr>
        <w:t>“I don’t think there is a cross-Canada understanding of clinics and how people are treated. I also don’t think that the more we understand clinics, the more likely we are to have a place at the policy table both in government and academia”</w:t>
      </w:r>
      <w:r w:rsidR="00242B87">
        <w:rPr>
          <w:sz w:val="22"/>
          <w:szCs w:val="22"/>
          <w:lang w:val="en-CA"/>
        </w:rPr>
        <w:t xml:space="preserve">. </w:t>
      </w:r>
      <w:r w:rsidR="00242B87" w:rsidRPr="00FF7B81">
        <w:rPr>
          <w:sz w:val="22"/>
          <w:szCs w:val="22"/>
          <w:lang w:val="en-CA"/>
        </w:rPr>
        <w:t xml:space="preserve">Some respondents thought that the national scope of ACCLE would allow for us to bring clinical and experiential learning to the attention of deans and others, and to </w:t>
      </w:r>
      <w:r w:rsidR="00242B87" w:rsidRPr="00FF7B81">
        <w:rPr>
          <w:sz w:val="22"/>
          <w:szCs w:val="22"/>
          <w:lang w:val="en-CA"/>
        </w:rPr>
        <w:lastRenderedPageBreak/>
        <w:t xml:space="preserve">raise its profile. </w:t>
      </w:r>
      <w:r w:rsidR="00242B87">
        <w:rPr>
          <w:sz w:val="22"/>
          <w:szCs w:val="22"/>
          <w:lang w:val="en-CA"/>
        </w:rPr>
        <w:t xml:space="preserve">Of course, exactly how one goes about advocating is a question, but one we could investigate further. </w:t>
      </w:r>
    </w:p>
    <w:p w:rsidR="00843420" w:rsidRPr="009266E2" w:rsidRDefault="00843420" w:rsidP="009266E2">
      <w:pPr>
        <w:spacing w:line="360" w:lineRule="auto"/>
        <w:jc w:val="both"/>
        <w:rPr>
          <w:sz w:val="22"/>
          <w:szCs w:val="22"/>
          <w:lang w:val="en-CA"/>
        </w:rPr>
      </w:pPr>
    </w:p>
    <w:p w:rsidR="00242B87" w:rsidRPr="00242B87" w:rsidRDefault="00242B87" w:rsidP="009266E2">
      <w:pPr>
        <w:pStyle w:val="ListParagraph"/>
        <w:numPr>
          <w:ilvl w:val="1"/>
          <w:numId w:val="13"/>
        </w:numPr>
        <w:spacing w:line="360" w:lineRule="auto"/>
        <w:jc w:val="both"/>
        <w:rPr>
          <w:rFonts w:ascii="Calibri" w:eastAsia="Times New Roman" w:hAnsi="Calibri" w:cs="Calibri"/>
          <w:color w:val="000000"/>
          <w:sz w:val="22"/>
          <w:szCs w:val="22"/>
          <w:lang w:val="en-CA"/>
        </w:rPr>
      </w:pPr>
      <w:r>
        <w:rPr>
          <w:sz w:val="22"/>
          <w:szCs w:val="22"/>
          <w:lang w:val="en-CA"/>
        </w:rPr>
        <w:t>Guidelines and Policy Development</w:t>
      </w:r>
    </w:p>
    <w:p w:rsidR="00242B87" w:rsidRDefault="00242B87" w:rsidP="009266E2">
      <w:pPr>
        <w:pStyle w:val="ListParagraph"/>
        <w:spacing w:line="360" w:lineRule="auto"/>
        <w:ind w:left="1440"/>
        <w:jc w:val="both"/>
        <w:rPr>
          <w:sz w:val="22"/>
          <w:szCs w:val="22"/>
          <w:lang w:val="en-CA"/>
        </w:rPr>
      </w:pPr>
      <w:r>
        <w:rPr>
          <w:sz w:val="22"/>
          <w:szCs w:val="22"/>
          <w:lang w:val="en-CA"/>
        </w:rPr>
        <w:t>O</w:t>
      </w:r>
      <w:r w:rsidR="00FF7B81" w:rsidRPr="00FF7B81">
        <w:rPr>
          <w:sz w:val="22"/>
          <w:szCs w:val="22"/>
          <w:lang w:val="en-CA"/>
        </w:rPr>
        <w:t xml:space="preserve">ther respondents were interested in </w:t>
      </w:r>
      <w:r>
        <w:rPr>
          <w:sz w:val="22"/>
          <w:szCs w:val="22"/>
          <w:lang w:val="en-CA"/>
        </w:rPr>
        <w:t xml:space="preserve">other forms of </w:t>
      </w:r>
      <w:r w:rsidR="00FF7B81" w:rsidRPr="00FF7B81">
        <w:rPr>
          <w:sz w:val="22"/>
          <w:szCs w:val="22"/>
          <w:lang w:val="en-CA"/>
        </w:rPr>
        <w:t>policy development</w:t>
      </w:r>
      <w:r>
        <w:rPr>
          <w:sz w:val="22"/>
          <w:szCs w:val="22"/>
          <w:lang w:val="en-CA"/>
        </w:rPr>
        <w:t xml:space="preserve"> related to pedagogy and clinic management.  </w:t>
      </w:r>
      <w:r w:rsidR="00FF7B81" w:rsidRPr="00FF7B81">
        <w:rPr>
          <w:sz w:val="22"/>
          <w:szCs w:val="22"/>
          <w:lang w:val="en-CA"/>
        </w:rPr>
        <w:t xml:space="preserve"> </w:t>
      </w:r>
    </w:p>
    <w:p w:rsidR="00242B87" w:rsidRDefault="00242B87" w:rsidP="009266E2">
      <w:pPr>
        <w:pStyle w:val="ListParagraph"/>
        <w:spacing w:line="360" w:lineRule="auto"/>
        <w:ind w:left="1440"/>
        <w:jc w:val="both"/>
        <w:rPr>
          <w:sz w:val="22"/>
          <w:szCs w:val="22"/>
          <w:lang w:val="en-CA"/>
        </w:rPr>
      </w:pPr>
    </w:p>
    <w:p w:rsidR="00FF7B81" w:rsidRPr="00843420" w:rsidRDefault="00843420" w:rsidP="009266E2">
      <w:pPr>
        <w:pStyle w:val="ListParagraph"/>
        <w:spacing w:line="360" w:lineRule="auto"/>
        <w:ind w:left="1440"/>
        <w:jc w:val="both"/>
        <w:rPr>
          <w:sz w:val="22"/>
          <w:szCs w:val="22"/>
          <w:lang w:val="en-CA"/>
        </w:rPr>
      </w:pPr>
      <w:r>
        <w:rPr>
          <w:sz w:val="22"/>
          <w:szCs w:val="22"/>
          <w:lang w:val="en-CA"/>
        </w:rPr>
        <w:t xml:space="preserve">Under </w:t>
      </w:r>
      <w:r w:rsidR="00242B87">
        <w:rPr>
          <w:sz w:val="22"/>
          <w:szCs w:val="22"/>
          <w:lang w:val="en-CA"/>
        </w:rPr>
        <w:t xml:space="preserve">both </w:t>
      </w:r>
      <w:r>
        <w:rPr>
          <w:sz w:val="22"/>
          <w:szCs w:val="22"/>
          <w:lang w:val="en-CA"/>
        </w:rPr>
        <w:t xml:space="preserve">a. </w:t>
      </w:r>
      <w:r>
        <w:rPr>
          <w:rFonts w:ascii="Calibri" w:eastAsia="Times New Roman" w:hAnsi="Calibri" w:cs="Calibri"/>
          <w:color w:val="000000"/>
          <w:sz w:val="22"/>
          <w:szCs w:val="22"/>
          <w:lang w:val="en-CA"/>
        </w:rPr>
        <w:t>Recognition of Clinical Work/ Employment issues and b. Guidelines and Policy Development,</w:t>
      </w:r>
      <w:r w:rsidR="009266E2">
        <w:rPr>
          <w:rFonts w:ascii="Calibri" w:eastAsia="Times New Roman" w:hAnsi="Calibri" w:cs="Calibri"/>
          <w:color w:val="000000"/>
          <w:sz w:val="22"/>
          <w:szCs w:val="22"/>
          <w:lang w:val="en-CA"/>
        </w:rPr>
        <w:t xml:space="preserve"> </w:t>
      </w:r>
      <w:r w:rsidR="00242B87" w:rsidRPr="00843420">
        <w:rPr>
          <w:sz w:val="22"/>
          <w:szCs w:val="22"/>
          <w:lang w:val="en-CA"/>
        </w:rPr>
        <w:t xml:space="preserve">respondents pointed out that </w:t>
      </w:r>
      <w:r w:rsidR="00FF7B81" w:rsidRPr="00843420">
        <w:rPr>
          <w:sz w:val="22"/>
          <w:szCs w:val="22"/>
          <w:lang w:val="en-CA"/>
        </w:rPr>
        <w:t xml:space="preserve">ACCLE might be able to call on law schools and governments to fund clinics in a way that is too risky for individual clinicians who might be precariously employed. </w:t>
      </w:r>
    </w:p>
    <w:p w:rsidR="00DD4357" w:rsidRDefault="00DD4357" w:rsidP="009266E2">
      <w:pPr>
        <w:spacing w:line="360" w:lineRule="auto"/>
        <w:jc w:val="both"/>
        <w:rPr>
          <w:sz w:val="22"/>
          <w:szCs w:val="22"/>
          <w:lang w:val="en-CA"/>
        </w:rPr>
      </w:pPr>
    </w:p>
    <w:p w:rsidR="00FF7B81" w:rsidRDefault="00FF7B81" w:rsidP="009266E2">
      <w:pPr>
        <w:pStyle w:val="ListParagraph"/>
        <w:numPr>
          <w:ilvl w:val="0"/>
          <w:numId w:val="13"/>
        </w:numPr>
        <w:spacing w:line="360" w:lineRule="auto"/>
        <w:jc w:val="both"/>
        <w:rPr>
          <w:sz w:val="22"/>
          <w:szCs w:val="22"/>
          <w:lang w:val="en-CA"/>
        </w:rPr>
      </w:pPr>
      <w:r>
        <w:rPr>
          <w:sz w:val="22"/>
          <w:szCs w:val="22"/>
          <w:lang w:val="en-CA"/>
        </w:rPr>
        <w:t>Resource Sharing/ Clearinghouse</w:t>
      </w:r>
    </w:p>
    <w:p w:rsidR="00FF7B81" w:rsidRPr="00242B87" w:rsidRDefault="00FF7B81" w:rsidP="009266E2">
      <w:pPr>
        <w:pStyle w:val="ListParagraph"/>
        <w:spacing w:line="360" w:lineRule="auto"/>
        <w:jc w:val="both"/>
        <w:rPr>
          <w:sz w:val="22"/>
          <w:szCs w:val="22"/>
          <w:lang w:val="en-CA"/>
        </w:rPr>
      </w:pPr>
      <w:r>
        <w:rPr>
          <w:sz w:val="22"/>
          <w:szCs w:val="22"/>
          <w:lang w:val="en-CA"/>
        </w:rPr>
        <w:t xml:space="preserve">Respondents seemed very interested in </w:t>
      </w:r>
      <w:r w:rsidR="00242B87">
        <w:rPr>
          <w:sz w:val="22"/>
          <w:szCs w:val="22"/>
          <w:lang w:val="en-CA"/>
        </w:rPr>
        <w:t xml:space="preserve">an information sharing space both on clinic pedagogy, day-to-day management issues, and research. Respondents thought we could, for example, </w:t>
      </w:r>
      <w:r w:rsidRPr="00242B87">
        <w:rPr>
          <w:sz w:val="22"/>
          <w:szCs w:val="22"/>
          <w:lang w:val="en-CA"/>
        </w:rPr>
        <w:t>“make action research more visible”</w:t>
      </w:r>
      <w:r w:rsidR="00242B87">
        <w:rPr>
          <w:sz w:val="22"/>
          <w:szCs w:val="22"/>
          <w:lang w:val="en-CA"/>
        </w:rPr>
        <w:t xml:space="preserve">. We could also create an online repository and/or listserv for clinicians across the country. This might also include policies related to tenure and promotion. </w:t>
      </w:r>
    </w:p>
    <w:p w:rsidR="00843420" w:rsidRDefault="00843420" w:rsidP="009266E2">
      <w:pPr>
        <w:spacing w:line="360" w:lineRule="auto"/>
        <w:jc w:val="both"/>
        <w:rPr>
          <w:sz w:val="22"/>
          <w:szCs w:val="22"/>
          <w:lang w:val="en-CA"/>
        </w:rPr>
      </w:pPr>
    </w:p>
    <w:p w:rsidR="00843420" w:rsidRPr="00FF7B81" w:rsidRDefault="00843420" w:rsidP="009266E2">
      <w:pPr>
        <w:spacing w:line="360" w:lineRule="auto"/>
        <w:jc w:val="both"/>
        <w:rPr>
          <w:sz w:val="22"/>
          <w:szCs w:val="22"/>
          <w:lang w:val="en-CA"/>
        </w:rPr>
      </w:pPr>
      <w:r>
        <w:rPr>
          <w:sz w:val="22"/>
          <w:szCs w:val="22"/>
          <w:lang w:val="en-CA"/>
        </w:rPr>
        <w:t>We look forward to discussing these issues with our membership.</w:t>
      </w:r>
    </w:p>
    <w:sectPr w:rsidR="00843420" w:rsidRPr="00FF7B81" w:rsidSect="00021A1E">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94F" w:rsidRDefault="00C6394F" w:rsidP="0025535C">
      <w:r>
        <w:separator/>
      </w:r>
    </w:p>
  </w:endnote>
  <w:endnote w:type="continuationSeparator" w:id="0">
    <w:p w:rsidR="00C6394F" w:rsidRDefault="00C6394F" w:rsidP="0025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764843"/>
      <w:docPartObj>
        <w:docPartGallery w:val="Page Numbers (Bottom of Page)"/>
        <w:docPartUnique/>
      </w:docPartObj>
    </w:sdtPr>
    <w:sdtEndPr>
      <w:rPr>
        <w:rStyle w:val="PageNumber"/>
      </w:rPr>
    </w:sdtEndPr>
    <w:sdtContent>
      <w:p w:rsidR="0025535C" w:rsidRDefault="0025535C" w:rsidP="00423A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5535C" w:rsidRDefault="0025535C" w:rsidP="0025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8974780"/>
      <w:docPartObj>
        <w:docPartGallery w:val="Page Numbers (Bottom of Page)"/>
        <w:docPartUnique/>
      </w:docPartObj>
    </w:sdtPr>
    <w:sdtEndPr>
      <w:rPr>
        <w:rStyle w:val="PageNumber"/>
      </w:rPr>
    </w:sdtEndPr>
    <w:sdtContent>
      <w:p w:rsidR="0025535C" w:rsidRDefault="0025535C" w:rsidP="00423A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5535C" w:rsidRDefault="0025535C" w:rsidP="0025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94F" w:rsidRDefault="00C6394F" w:rsidP="0025535C">
      <w:r>
        <w:separator/>
      </w:r>
    </w:p>
  </w:footnote>
  <w:footnote w:type="continuationSeparator" w:id="0">
    <w:p w:rsidR="00C6394F" w:rsidRDefault="00C6394F" w:rsidP="0025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BE6"/>
    <w:multiLevelType w:val="hybridMultilevel"/>
    <w:tmpl w:val="9DE002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DA3730"/>
    <w:multiLevelType w:val="hybridMultilevel"/>
    <w:tmpl w:val="B240B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F67814"/>
    <w:multiLevelType w:val="multilevel"/>
    <w:tmpl w:val="D144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37AE4"/>
    <w:multiLevelType w:val="hybridMultilevel"/>
    <w:tmpl w:val="A30805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D8312B"/>
    <w:multiLevelType w:val="hybridMultilevel"/>
    <w:tmpl w:val="ED5ED8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07A3719"/>
    <w:multiLevelType w:val="hybridMultilevel"/>
    <w:tmpl w:val="E4BC7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292E0E"/>
    <w:multiLevelType w:val="hybridMultilevel"/>
    <w:tmpl w:val="31B8B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B757F5"/>
    <w:multiLevelType w:val="hybridMultilevel"/>
    <w:tmpl w:val="3D80A6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6473E"/>
    <w:multiLevelType w:val="multilevel"/>
    <w:tmpl w:val="91C6E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EE2482"/>
    <w:multiLevelType w:val="multilevel"/>
    <w:tmpl w:val="95BE3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03715"/>
    <w:multiLevelType w:val="multilevel"/>
    <w:tmpl w:val="A748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27C9B"/>
    <w:multiLevelType w:val="hybridMultilevel"/>
    <w:tmpl w:val="3AD0A61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5131E06"/>
    <w:multiLevelType w:val="hybridMultilevel"/>
    <w:tmpl w:val="054A3B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2"/>
  </w:num>
  <w:num w:numId="4">
    <w:abstractNumId w:val="11"/>
  </w:num>
  <w:num w:numId="5">
    <w:abstractNumId w:val="3"/>
  </w:num>
  <w:num w:numId="6">
    <w:abstractNumId w:val="6"/>
  </w:num>
  <w:num w:numId="7">
    <w:abstractNumId w:val="1"/>
  </w:num>
  <w:num w:numId="8">
    <w:abstractNumId w:val="0"/>
  </w:num>
  <w:num w:numId="9">
    <w:abstractNumId w:val="5"/>
  </w:num>
  <w:num w:numId="10">
    <w:abstractNumId w:val="10"/>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2E"/>
    <w:rsid w:val="00021A1E"/>
    <w:rsid w:val="00150ACA"/>
    <w:rsid w:val="00242B87"/>
    <w:rsid w:val="0025535C"/>
    <w:rsid w:val="00261D40"/>
    <w:rsid w:val="00272B21"/>
    <w:rsid w:val="002F3CCB"/>
    <w:rsid w:val="00356E05"/>
    <w:rsid w:val="00365C58"/>
    <w:rsid w:val="004902EE"/>
    <w:rsid w:val="004A4E8F"/>
    <w:rsid w:val="004F3A2E"/>
    <w:rsid w:val="00595E98"/>
    <w:rsid w:val="00615236"/>
    <w:rsid w:val="0065125C"/>
    <w:rsid w:val="0066524F"/>
    <w:rsid w:val="00704637"/>
    <w:rsid w:val="0078782A"/>
    <w:rsid w:val="007A26D9"/>
    <w:rsid w:val="00805D8B"/>
    <w:rsid w:val="00843420"/>
    <w:rsid w:val="00874CE2"/>
    <w:rsid w:val="00880C45"/>
    <w:rsid w:val="008F48AF"/>
    <w:rsid w:val="009266E2"/>
    <w:rsid w:val="00AE7E4E"/>
    <w:rsid w:val="00BC188B"/>
    <w:rsid w:val="00C6394F"/>
    <w:rsid w:val="00DD4357"/>
    <w:rsid w:val="00EB43F2"/>
    <w:rsid w:val="00EF6D2A"/>
    <w:rsid w:val="00F66E65"/>
    <w:rsid w:val="00F66FF5"/>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1FA6"/>
  <w15:chartTrackingRefBased/>
  <w15:docId w15:val="{BEE71DBB-1F2C-0C4D-BFDC-A119877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6FF5"/>
  </w:style>
  <w:style w:type="paragraph" w:styleId="ListParagraph">
    <w:name w:val="List Paragraph"/>
    <w:basedOn w:val="Normal"/>
    <w:uiPriority w:val="34"/>
    <w:qFormat/>
    <w:rsid w:val="00BC188B"/>
    <w:pPr>
      <w:ind w:left="720"/>
      <w:contextualSpacing/>
    </w:pPr>
  </w:style>
  <w:style w:type="paragraph" w:styleId="Footer">
    <w:name w:val="footer"/>
    <w:basedOn w:val="Normal"/>
    <w:link w:val="FooterChar"/>
    <w:uiPriority w:val="99"/>
    <w:unhideWhenUsed/>
    <w:rsid w:val="0025535C"/>
    <w:pPr>
      <w:tabs>
        <w:tab w:val="center" w:pos="4680"/>
        <w:tab w:val="right" w:pos="9360"/>
      </w:tabs>
    </w:pPr>
  </w:style>
  <w:style w:type="character" w:customStyle="1" w:styleId="FooterChar">
    <w:name w:val="Footer Char"/>
    <w:basedOn w:val="DefaultParagraphFont"/>
    <w:link w:val="Footer"/>
    <w:uiPriority w:val="99"/>
    <w:rsid w:val="0025535C"/>
  </w:style>
  <w:style w:type="character" w:styleId="PageNumber">
    <w:name w:val="page number"/>
    <w:basedOn w:val="DefaultParagraphFont"/>
    <w:uiPriority w:val="99"/>
    <w:semiHidden/>
    <w:unhideWhenUsed/>
    <w:rsid w:val="0025535C"/>
  </w:style>
  <w:style w:type="paragraph" w:styleId="Header">
    <w:name w:val="header"/>
    <w:basedOn w:val="Normal"/>
    <w:link w:val="HeaderChar"/>
    <w:uiPriority w:val="99"/>
    <w:unhideWhenUsed/>
    <w:rsid w:val="00F66E65"/>
    <w:pPr>
      <w:tabs>
        <w:tab w:val="center" w:pos="4680"/>
        <w:tab w:val="right" w:pos="9360"/>
      </w:tabs>
    </w:pPr>
  </w:style>
  <w:style w:type="character" w:customStyle="1" w:styleId="HeaderChar">
    <w:name w:val="Header Char"/>
    <w:basedOn w:val="DefaultParagraphFont"/>
    <w:link w:val="Header"/>
    <w:uiPriority w:val="99"/>
    <w:rsid w:val="00F6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6357">
      <w:bodyDiv w:val="1"/>
      <w:marLeft w:val="0"/>
      <w:marRight w:val="0"/>
      <w:marTop w:val="0"/>
      <w:marBottom w:val="0"/>
      <w:divBdr>
        <w:top w:val="none" w:sz="0" w:space="0" w:color="auto"/>
        <w:left w:val="none" w:sz="0" w:space="0" w:color="auto"/>
        <w:bottom w:val="none" w:sz="0" w:space="0" w:color="auto"/>
        <w:right w:val="none" w:sz="0" w:space="0" w:color="auto"/>
      </w:divBdr>
    </w:div>
    <w:div w:id="764228233">
      <w:bodyDiv w:val="1"/>
      <w:marLeft w:val="0"/>
      <w:marRight w:val="0"/>
      <w:marTop w:val="0"/>
      <w:marBottom w:val="0"/>
      <w:divBdr>
        <w:top w:val="none" w:sz="0" w:space="0" w:color="auto"/>
        <w:left w:val="none" w:sz="0" w:space="0" w:color="auto"/>
        <w:bottom w:val="none" w:sz="0" w:space="0" w:color="auto"/>
        <w:right w:val="none" w:sz="0" w:space="0" w:color="auto"/>
      </w:divBdr>
    </w:div>
    <w:div w:id="8070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B68F-AE4A-9E4A-8887-026B5AE7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Hale</dc:creator>
  <cp:keywords/>
  <dc:description/>
  <cp:lastModifiedBy>Gemma Smyth</cp:lastModifiedBy>
  <cp:revision>2</cp:revision>
  <dcterms:created xsi:type="dcterms:W3CDTF">2018-03-29T18:57:00Z</dcterms:created>
  <dcterms:modified xsi:type="dcterms:W3CDTF">2018-03-29T18:57:00Z</dcterms:modified>
</cp:coreProperties>
</file>